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left"/>
        <w:rPr>
          <w:rFonts w:hint="eastAsia" w:ascii="方正小标宋简体" w:eastAsia="方正黑体_GBK"/>
          <w:sz w:val="44"/>
          <w:szCs w:val="44"/>
        </w:rPr>
      </w:pPr>
      <w:r>
        <w:rPr>
          <w:rFonts w:hint="eastAsia" w:ascii="方正黑体_GBK" w:hAnsi="方正黑体_GBK" w:eastAsia="方正黑体_GBK" w:cs="方正黑体_GBK"/>
          <w:sz w:val="32"/>
          <w:szCs w:val="32"/>
        </w:rPr>
        <w:t>附件2</w:t>
      </w:r>
    </w:p>
    <w:p>
      <w:pPr>
        <w:spacing w:line="578" w:lineRule="exact"/>
        <w:contextualSpacing/>
        <w:jc w:val="center"/>
        <w:rPr>
          <w:rFonts w:ascii="方正小标宋简体" w:eastAsia="方正小标宋简体"/>
          <w:sz w:val="44"/>
          <w:szCs w:val="44"/>
        </w:rPr>
      </w:pPr>
    </w:p>
    <w:p>
      <w:pPr>
        <w:spacing w:line="578" w:lineRule="exact"/>
        <w:contextualSpacing/>
        <w:jc w:val="center"/>
        <w:rPr>
          <w:rFonts w:ascii="楷体_GB2312" w:eastAsia="楷体_GB2312"/>
          <w:sz w:val="32"/>
          <w:szCs w:val="32"/>
        </w:rPr>
      </w:pPr>
      <w:r>
        <w:rPr>
          <w:rFonts w:hint="eastAsia" w:ascii="方正小标宋简体" w:eastAsia="方正小标宋简体"/>
          <w:sz w:val="44"/>
          <w:szCs w:val="44"/>
        </w:rPr>
        <w:t>电力行业网络安全等级保护管理办法</w:t>
      </w:r>
      <w:r>
        <w:rPr>
          <w:rFonts w:ascii="方正小标宋简体" w:eastAsia="方正小标宋简体"/>
          <w:sz w:val="44"/>
          <w:szCs w:val="44"/>
        </w:rPr>
        <w:br w:type="textWrapping"/>
      </w:r>
      <w:r>
        <w:rPr>
          <w:rFonts w:hint="eastAsia" w:ascii="楷体_GB2312" w:eastAsia="楷体_GB2312"/>
          <w:sz w:val="32"/>
          <w:szCs w:val="32"/>
        </w:rPr>
        <w:t>(修订征求意见稿)</w:t>
      </w:r>
    </w:p>
    <w:p>
      <w:pPr>
        <w:spacing w:line="578" w:lineRule="exact"/>
        <w:contextualSpacing/>
        <w:jc w:val="center"/>
        <w:rPr>
          <w:rFonts w:ascii="方正小标宋简体" w:eastAsia="方正小标宋简体"/>
          <w:sz w:val="36"/>
          <w:szCs w:val="32"/>
        </w:rPr>
      </w:pPr>
    </w:p>
    <w:p>
      <w:pPr>
        <w:spacing w:line="578" w:lineRule="exact"/>
        <w:contextualSpacing/>
        <w:jc w:val="center"/>
        <w:outlineLvl w:val="0"/>
        <w:rPr>
          <w:rFonts w:ascii="黑体" w:hAnsi="黑体" w:eastAsia="黑体"/>
          <w:sz w:val="32"/>
          <w:szCs w:val="32"/>
        </w:rPr>
      </w:pPr>
      <w:r>
        <w:rPr>
          <w:rFonts w:hint="eastAsia" w:ascii="黑体" w:hAnsi="黑体" w:eastAsia="黑体"/>
          <w:sz w:val="32"/>
          <w:szCs w:val="32"/>
        </w:rPr>
        <w:t>第一章 总则</w:t>
      </w:r>
    </w:p>
    <w:p>
      <w:pPr>
        <w:spacing w:line="578" w:lineRule="exact"/>
        <w:ind w:firstLine="643" w:firstLineChars="200"/>
        <w:contextualSpacing/>
        <w:rPr>
          <w:rFonts w:hint="eastAsia"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规范电力行业网络安全等级保护管理，提高电力行业网络安全保障能力和水平，维护国家安全、社会稳定和公共利益，根据《中华人民共和国网络安全法》《中华人民共和国密码法》《中华人民共和国计算机信息系统安全保护条例》《关键信息基础设施安全保护条例》《信息安全等级保护管理办法》等法律法规和规范性文件，制定本办法。</w:t>
      </w:r>
    </w:p>
    <w:p>
      <w:pPr>
        <w:spacing w:line="578" w:lineRule="exact"/>
        <w:ind w:firstLine="643" w:firstLineChars="200"/>
        <w:contextualSpacing/>
        <w:rPr>
          <w:rFonts w:hint="eastAsia"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电力企业在中华人民共和国境内建设、运营、维护、使用网络，开展网络安全等级保护工作，适用本办法。</w:t>
      </w:r>
    </w:p>
    <w:p>
      <w:pPr>
        <w:spacing w:line="578" w:lineRule="exact"/>
        <w:ind w:firstLine="640" w:firstLineChars="200"/>
        <w:contextualSpacing/>
        <w:rPr>
          <w:rFonts w:hint="eastAsia" w:ascii="仿宋_GB2312" w:eastAsia="仿宋_GB2312"/>
          <w:sz w:val="32"/>
          <w:szCs w:val="32"/>
        </w:rPr>
      </w:pPr>
      <w:r>
        <w:rPr>
          <w:rFonts w:hint="eastAsia" w:ascii="仿宋_GB2312" w:eastAsia="仿宋_GB2312"/>
          <w:sz w:val="32"/>
          <w:szCs w:val="32"/>
        </w:rPr>
        <w:t>本办法所称网络是指由计算机或者其他信息终端及相关设备组成的按照一定的规则和程序对信息进行收集、存储、传输、交换、处理的系统，包括电力监控系统、管理信息系统及通信网络设施。</w:t>
      </w:r>
    </w:p>
    <w:p>
      <w:pPr>
        <w:spacing w:line="578" w:lineRule="exact"/>
        <w:ind w:firstLine="640" w:firstLineChars="200"/>
        <w:contextualSpacing/>
        <w:rPr>
          <w:rFonts w:hint="eastAsia" w:ascii="仿宋_GB2312" w:eastAsia="仿宋_GB2312"/>
          <w:sz w:val="32"/>
          <w:szCs w:val="32"/>
        </w:rPr>
      </w:pPr>
      <w:r>
        <w:rPr>
          <w:rFonts w:hint="eastAsia" w:ascii="仿宋_GB2312" w:eastAsia="仿宋_GB2312"/>
          <w:sz w:val="32"/>
          <w:szCs w:val="32"/>
        </w:rPr>
        <w:t>本办法不适用于涉及国家秘密的网络。涉及国家秘密的网络应当按照国家保密工作部门有关涉密信息系统分级保护的管理规定和技术标准，结合网络实际情况进行保护。</w:t>
      </w:r>
    </w:p>
    <w:p>
      <w:pPr>
        <w:spacing w:line="578" w:lineRule="exact"/>
        <w:ind w:firstLine="643" w:firstLineChars="200"/>
        <w:contextualSpacing/>
        <w:rPr>
          <w:rFonts w:hint="eastAsia"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国家能源局根据国家网络安全等级保护政策法规和技术标准要求，结合行业实际，组织制定适用于电力行业的网络安全等级保护管理规范和技术标准，对电力行业网络安全等级保护工作的实施进行指导和监督管理。国家能源局各派出机构根据国家能源局授权，对本辖区电力企业网络安全等级保护工作的实施进行监督管理。</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电力企业依照国家和电力行业相关法律法规和规范性文件，履行网络安全等级保护的义务和责任。</w:t>
      </w:r>
    </w:p>
    <w:p>
      <w:pPr>
        <w:spacing w:line="578" w:lineRule="exact"/>
        <w:contextualSpacing/>
        <w:jc w:val="center"/>
        <w:outlineLvl w:val="0"/>
        <w:rPr>
          <w:rFonts w:ascii="黑体" w:hAnsi="黑体" w:eastAsia="黑体"/>
          <w:sz w:val="32"/>
          <w:szCs w:val="32"/>
        </w:rPr>
      </w:pPr>
      <w:r>
        <w:rPr>
          <w:rFonts w:hint="eastAsia" w:ascii="黑体" w:hAnsi="黑体" w:eastAsia="黑体"/>
          <w:sz w:val="32"/>
          <w:szCs w:val="32"/>
        </w:rPr>
        <w:t>第二章 等级划分与保护</w:t>
      </w:r>
    </w:p>
    <w:p>
      <w:pPr>
        <w:spacing w:line="578" w:lineRule="exact"/>
        <w:ind w:firstLine="643" w:firstLineChars="200"/>
        <w:contextualSpacing/>
        <w:rPr>
          <w:rFonts w:hint="eastAsia"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根据电力行业网络在国家安全、经济建设、社会生活中的重要程度，以及一旦遭到破坏、丧失功能或者数据被篡改、泄露、丢失、损毁后，对国家安全、社会秩序、公共利益以及公民、法人和其他组织的合法权益的侵害程度等因素，电力行业网络划分为五个安全保护等级：</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第一级，受到破坏后，会对公民、法人和其他组织的合法权益造成一般损害，但不危害国家安全、社会秩序和公共利益。</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第二级，受到破坏后，会对公民、法人和其他组织的合法权益造成严重损害或特别严重损害，或者对社会秩序和公共利益造成危害，但不危害国家安全。</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第三级，受到破坏后，会对社会秩序和公共利益造成严重危害，或者对国家安全造成危害。</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第四级，受到破坏后，会对社会秩序和公共利益造成特别严重危害，或者对国家安全造成严重危害。</w:t>
      </w:r>
    </w:p>
    <w:p>
      <w:pPr>
        <w:spacing w:line="578" w:lineRule="exact"/>
        <w:ind w:firstLine="640" w:firstLineChars="200"/>
        <w:contextualSpacing/>
        <w:rPr>
          <w:rFonts w:hint="eastAsia" w:ascii="仿宋_GB2312" w:eastAsia="仿宋_GB2312"/>
          <w:sz w:val="32"/>
          <w:szCs w:val="32"/>
        </w:rPr>
      </w:pPr>
      <w:r>
        <w:rPr>
          <w:rFonts w:hint="eastAsia" w:ascii="仿宋_GB2312" w:eastAsia="仿宋_GB2312"/>
          <w:sz w:val="32"/>
          <w:szCs w:val="32"/>
        </w:rPr>
        <w:t>第五级，受到破坏后会对国家安全造成特别严重危害。</w:t>
      </w:r>
    </w:p>
    <w:p>
      <w:pPr>
        <w:spacing w:line="578" w:lineRule="exact"/>
        <w:ind w:firstLine="643" w:firstLineChars="200"/>
        <w:contextualSpacing/>
        <w:rPr>
          <w:rFonts w:hint="eastAsia"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电力行业网络安全等级保护坚持分等级保护、突出重点、积极防御、综合防控的原则。</w:t>
      </w:r>
    </w:p>
    <w:p>
      <w:pPr>
        <w:spacing w:line="578" w:lineRule="exact"/>
        <w:contextualSpacing/>
        <w:jc w:val="center"/>
        <w:outlineLvl w:val="0"/>
        <w:rPr>
          <w:rFonts w:ascii="黑体" w:hAnsi="黑体" w:eastAsia="黑体"/>
          <w:sz w:val="32"/>
          <w:szCs w:val="32"/>
        </w:rPr>
      </w:pPr>
      <w:r>
        <w:rPr>
          <w:rFonts w:hint="eastAsia" w:ascii="黑体" w:hAnsi="黑体" w:eastAsia="黑体"/>
          <w:sz w:val="32"/>
          <w:szCs w:val="32"/>
        </w:rPr>
        <w:t>第三章 等级保护的实施与管理</w:t>
      </w:r>
    </w:p>
    <w:p>
      <w:pPr>
        <w:spacing w:line="578" w:lineRule="exact"/>
        <w:ind w:firstLine="643" w:firstLineChars="200"/>
        <w:contextualSpacing/>
        <w:rPr>
          <w:rFonts w:hint="eastAsia" w:ascii="仿宋_GB2312" w:hAnsi="仿宋_GB2312" w:eastAsia="仿宋_GB2312" w:cs="宋体"/>
          <w:kern w:val="0"/>
          <w:sz w:val="32"/>
          <w:szCs w:val="24"/>
        </w:rPr>
      </w:pPr>
      <w:r>
        <w:rPr>
          <w:rFonts w:hint="eastAsia" w:ascii="仿宋_GB2312" w:eastAsia="仿宋_GB2312"/>
          <w:b/>
          <w:sz w:val="32"/>
          <w:szCs w:val="32"/>
        </w:rPr>
        <w:t>第六条</w:t>
      </w:r>
      <w:r>
        <w:rPr>
          <w:rFonts w:hint="eastAsia" w:ascii="仿宋_GB2312" w:eastAsia="仿宋_GB2312"/>
          <w:sz w:val="32"/>
          <w:szCs w:val="32"/>
        </w:rPr>
        <w:t xml:space="preserve"> 国家能</w:t>
      </w:r>
      <w:r>
        <w:rPr>
          <w:rFonts w:hint="eastAsia" w:ascii="仿宋_GB2312" w:hAnsi="仿宋_GB2312" w:eastAsia="仿宋_GB2312" w:cs="宋体"/>
          <w:kern w:val="0"/>
          <w:sz w:val="32"/>
          <w:szCs w:val="24"/>
        </w:rPr>
        <w:t>源局根据《网络安全等级保护定级指南》（GB/T 22240）等国家标准规范，结合电力行业网络特点，制定电力行业网络安全等级保护定级指南，指导电力行业网络安全等级保护定级工作。</w:t>
      </w:r>
    </w:p>
    <w:p>
      <w:pPr>
        <w:spacing w:line="578" w:lineRule="exact"/>
        <w:ind w:firstLine="643" w:firstLineChars="200"/>
        <w:contextualSpacing/>
        <w:rPr>
          <w:rFonts w:hint="eastAsia"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xml:space="preserve"> 电力企</w:t>
      </w:r>
      <w:r>
        <w:rPr>
          <w:rFonts w:hint="eastAsia" w:ascii="仿宋_GB2312" w:hAnsi="仿宋_GB2312" w:eastAsia="仿宋_GB2312" w:cs="宋体"/>
          <w:kern w:val="0"/>
          <w:sz w:val="32"/>
          <w:szCs w:val="24"/>
        </w:rPr>
        <w:t>业应当在网络规划设计阶段，依据《网络安全等级保护定级指南》（GB/T 22240）等国家标准规范和电力行业网络安全等级保护定级指南，确定定级对象（网络）及其安全保护等级，并在网络功能、服务范围、服务对象和处理的数据等发生重大变化时，及时申请变更其安全保护等级。</w:t>
      </w:r>
    </w:p>
    <w:p>
      <w:pPr>
        <w:spacing w:line="578" w:lineRule="exact"/>
        <w:ind w:firstLine="640" w:firstLineChars="200"/>
        <w:contextualSpacing/>
        <w:rPr>
          <w:rFonts w:hint="eastAsia" w:ascii="仿宋_GB2312" w:eastAsia="仿宋_GB2312"/>
          <w:sz w:val="32"/>
          <w:szCs w:val="32"/>
        </w:rPr>
      </w:pPr>
      <w:r>
        <w:rPr>
          <w:rFonts w:hint="eastAsia" w:ascii="仿宋_GB2312" w:eastAsia="仿宋_GB2312"/>
          <w:sz w:val="32"/>
          <w:szCs w:val="32"/>
        </w:rPr>
        <w:t>对拟定为第二级及以上的网络，电力企业应当组织网络安全专家进行定级评审。其中，拟定为第四级及以上的网络，还应由国家能源局统一组织国家网络安全等级保护专家进行定级评审。</w:t>
      </w:r>
    </w:p>
    <w:p>
      <w:pPr>
        <w:spacing w:line="578" w:lineRule="exact"/>
        <w:ind w:firstLine="643" w:firstLineChars="200"/>
        <w:contextualSpacing/>
        <w:rPr>
          <w:rFonts w:hint="eastAsia"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全国电力安全生产委员会企业成员单位汇总集团总部拟定为第二级及以上网络的定级结果和专家评审意见，报国家能源局审核。各区域（省）内的电力企业汇总本单位拟定为第二级及以上网络的定级结果，报国家能源局派出机构审核。</w:t>
      </w:r>
    </w:p>
    <w:p>
      <w:pPr>
        <w:spacing w:line="578" w:lineRule="exact"/>
        <w:ind w:firstLine="643" w:firstLineChars="200"/>
        <w:contextualSpacing/>
        <w:rPr>
          <w:rFonts w:hint="eastAsia"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电力企业办理网络安全等级保护定级审核手续时，应当提交《电力行业网络安全等级保护定级审核表》（附件），同时提交以下材料：</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（一）定级审核申请报告；</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（二）各定级对象的定级报告及相关附件；</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（三）定级专家评审意见；</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（四）本企业网络安全管理部门对网络安全等级保护定级的意见。</w:t>
      </w:r>
    </w:p>
    <w:p>
      <w:pPr>
        <w:spacing w:line="578" w:lineRule="exact"/>
        <w:ind w:firstLine="640" w:firstLineChars="200"/>
        <w:contextualSpacing/>
        <w:rPr>
          <w:rFonts w:ascii="仿宋_GB2312" w:hAnsi="仿宋_GB2312" w:eastAsia="仿宋_GB2312" w:cs="宋体"/>
          <w:kern w:val="0"/>
          <w:sz w:val="32"/>
          <w:szCs w:val="24"/>
        </w:rPr>
      </w:pPr>
      <w:r>
        <w:rPr>
          <w:rFonts w:hint="eastAsia" w:ascii="仿宋_GB2312" w:hAnsi="仿宋_GB2312" w:eastAsia="仿宋_GB2312" w:cs="宋体"/>
          <w:kern w:val="0"/>
          <w:sz w:val="32"/>
          <w:szCs w:val="24"/>
        </w:rPr>
        <w:t>国家能源局或其派出机构应在收到审核材料30日内反馈审核意见。</w:t>
      </w:r>
    </w:p>
    <w:p>
      <w:pPr>
        <w:pStyle w:val="18"/>
        <w:spacing w:line="578" w:lineRule="exact"/>
        <w:ind w:firstLine="643"/>
        <w:contextualSpacing/>
        <w:rPr>
          <w:rFonts w:hint="eastAsia"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新建或已运营（运行）的第二级及以上网络，应当在收到国家能源局或其派出机构审核意见后，向公安机关备案并按照第八条规定的定级审核权限向国家能源局或其派出机构报告定级备案结果。</w:t>
      </w:r>
    </w:p>
    <w:p>
      <w:pPr>
        <w:pStyle w:val="18"/>
        <w:spacing w:line="578" w:lineRule="exact"/>
        <w:ind w:firstLine="643"/>
        <w:contextualSpacing/>
        <w:rPr>
          <w:rFonts w:hint="eastAsia" w:ascii="仿宋_GB2312" w:eastAsia="仿宋_GB2312"/>
          <w:sz w:val="32"/>
          <w:szCs w:val="32"/>
        </w:rPr>
      </w:pPr>
      <w:r>
        <w:rPr>
          <w:rFonts w:hint="eastAsia" w:ascii="仿宋_GB2312" w:eastAsia="仿宋_GB2312"/>
          <w:b/>
          <w:sz w:val="32"/>
          <w:szCs w:val="32"/>
        </w:rPr>
        <w:t>第十一条</w:t>
      </w:r>
      <w:r>
        <w:rPr>
          <w:rFonts w:hint="eastAsia" w:ascii="仿宋_GB2312" w:eastAsia="仿宋_GB2312"/>
          <w:sz w:val="32"/>
          <w:szCs w:val="32"/>
        </w:rPr>
        <w:t xml:space="preserve"> 电力企业应当采购、使用符合国家法律法规和有关标准规范要求且满足网络安全等级保护需求的网络产品和服务。</w:t>
      </w:r>
    </w:p>
    <w:p>
      <w:pPr>
        <w:pStyle w:val="18"/>
        <w:spacing w:line="578" w:lineRule="exact"/>
        <w:ind w:firstLine="640"/>
        <w:contextualSpacing/>
        <w:rPr>
          <w:rFonts w:ascii="仿宋_GB2312" w:hAnsi="仿宋_GB2312" w:eastAsia="仿宋_GB2312" w:cs="宋体"/>
          <w:kern w:val="0"/>
          <w:sz w:val="32"/>
          <w:szCs w:val="24"/>
        </w:rPr>
      </w:pPr>
      <w:r>
        <w:rPr>
          <w:rFonts w:hint="eastAsia" w:ascii="仿宋_GB2312" w:hAnsi="仿宋_GB2312" w:eastAsia="仿宋_GB2312" w:cs="宋体"/>
          <w:kern w:val="0"/>
          <w:sz w:val="32"/>
          <w:szCs w:val="24"/>
        </w:rPr>
        <w:t>对于电力监控系统，应按照《电力监控系统安全防护规定》（国家发展和改革委员会令2014年第14号）要求，采购和使用电力专用横向单向安全隔离装置、电力专用纵向加密认证装置或者加密认证网关等设备设施；在设备选型及配置时，禁止选用经国家能源局通报存在严重安全漏洞和风险的系统及设备，对已经投入运行的系统及设备应及时整改并加强运行管理和安全防护。</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采购网络产品和服务，影响或可能影响国家安全的，应当依据国家网信部门制定的网络安全审查办法申报网络安全审查。</w:t>
      </w:r>
    </w:p>
    <w:p>
      <w:pPr>
        <w:spacing w:line="578" w:lineRule="exact"/>
        <w:ind w:firstLine="643" w:firstLineChars="200"/>
        <w:rPr>
          <w:rFonts w:hint="eastAsia" w:ascii="仿宋_GB2312" w:eastAsia="仿宋_GB2312"/>
          <w:sz w:val="32"/>
          <w:szCs w:val="32"/>
        </w:rPr>
      </w:pPr>
      <w:r>
        <w:rPr>
          <w:rFonts w:hint="eastAsia" w:ascii="仿宋_GB2312" w:eastAsia="仿宋_GB2312"/>
          <w:b/>
          <w:sz w:val="32"/>
          <w:szCs w:val="32"/>
        </w:rPr>
        <w:t>第十二条</w:t>
      </w:r>
      <w:r>
        <w:rPr>
          <w:rFonts w:hint="eastAsia" w:ascii="仿宋_GB2312" w:eastAsia="仿宋_GB2312"/>
          <w:sz w:val="32"/>
          <w:szCs w:val="32"/>
        </w:rPr>
        <w:t xml:space="preserve"> 电力企业在网络规划、建设、运营过程中，应当遵循同步规划、同步建设、同步使用的原则，按照该网络的安全保护等级要求，建设网络安全设备设施，制定并落实安全管理制度，健全网络安全防护体系。</w:t>
      </w:r>
    </w:p>
    <w:p>
      <w:pPr>
        <w:spacing w:line="578" w:lineRule="exact"/>
        <w:ind w:firstLine="643" w:firstLineChars="200"/>
        <w:rPr>
          <w:rFonts w:hint="eastAsia"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网络建设完成后，电力企业或者其主管部门应当选择符合本办法第十八条规定条件的网络安全等级保护测评机构（以下简称测评机构），依据国家和行业有关标准或规范要求，定期对网络安全等级保护状况开展网络安全等级保护测评。第二级网络每两年应进行一次等级保护测评，第三级及以上网络每年应进行一次等级保护测评。新建的第三级及以上网络应当在通过网络安全等级保护测评后投入运行。</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电力监控系统网络安全等级保护测评工作应当与电力监控系统安全防护评估、关键信息基础设施网络安全检测评估、商用密码应用安全性评估工作相衔接，避免重复测评。</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电力企业应当定期对网络安全状况、安全保护制度及措施的落实情况进行自查。第二级电力监控系统应当每两年至少进行一次自查，第三级及以上网络应当每年至少进行一次自查。</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电力企业应当对自查和等级保护测评中发现的安全风险隐患，制定整改方案，并开展安全建设整改。</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测评机构需组织专家对第三级及以上网络的网络安全等级保护测评报告进行评审。</w:t>
      </w:r>
    </w:p>
    <w:p>
      <w:pPr>
        <w:spacing w:line="578" w:lineRule="exact"/>
        <w:ind w:firstLine="643" w:firstLineChars="200"/>
        <w:rPr>
          <w:rFonts w:hint="eastAsia" w:ascii="仿宋_GB2312"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电力企业应当按照第八条规定的定级审核权限，每年向国家能源局或其派出机构报告网络安全等级保护工作情况，包括网络安全等级保护定级备案、等级保护测评、安全建设整改、安全自查等情况。</w:t>
      </w:r>
    </w:p>
    <w:p>
      <w:pPr>
        <w:spacing w:line="578" w:lineRule="exact"/>
        <w:ind w:firstLine="643" w:firstLineChars="200"/>
        <w:rPr>
          <w:rFonts w:hint="eastAsia" w:ascii="仿宋_GB2312" w:eastAsia="仿宋_GB2312"/>
          <w:sz w:val="32"/>
          <w:szCs w:val="32"/>
        </w:rPr>
      </w:pPr>
      <w:r>
        <w:rPr>
          <w:rFonts w:hint="eastAsia" w:ascii="仿宋_GB2312" w:eastAsia="仿宋_GB2312"/>
          <w:b/>
          <w:sz w:val="32"/>
          <w:szCs w:val="32"/>
        </w:rPr>
        <w:t>第十五条</w:t>
      </w:r>
      <w:r>
        <w:rPr>
          <w:rFonts w:hint="eastAsia" w:ascii="仿宋_GB2312" w:eastAsia="仿宋_GB2312"/>
          <w:sz w:val="32"/>
          <w:szCs w:val="32"/>
        </w:rPr>
        <w:t xml:space="preserve"> 国家能源局及其派出机构结合关键信息基础设施网络安全检查，定期组织对运营有第三级及以上网络的电力企业开展抽查。开展网络安全检查时应当加强协同配合、信息沟通，避免不必要的检查和交叉重复检查。</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检查事项主要为：</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（一）网络安全等级保护定级工作开展情况，包括定级评审、审核、备案及根据网络安全需求变化调整定级等情况；</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（二）电力企业网络安全管理制度、措施的落实情况；</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（三）电力企业及其主管部门对网络安全状况的检查情况；</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（四）网络安全等级保护测评工作开展情况；</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（五）网络安全产品使用情况；</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（六）网络安全建设整改情况；</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（七）备案材料与电力企业及其网络的符合情况；</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（八）其他应当进行监督检查的事项。</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对公安机关开展的网络安全执法检查，国家能源局及其派出机构、电力企业应当予以协助、配合。</w:t>
      </w:r>
    </w:p>
    <w:p>
      <w:pPr>
        <w:spacing w:line="578" w:lineRule="exact"/>
        <w:ind w:firstLine="643" w:firstLineChars="200"/>
        <w:rPr>
          <w:rFonts w:hint="eastAsia" w:ascii="仿宋_GB2312" w:eastAsia="仿宋_GB2312"/>
          <w:sz w:val="32"/>
          <w:szCs w:val="32"/>
        </w:rPr>
      </w:pPr>
      <w:r>
        <w:rPr>
          <w:rFonts w:hint="eastAsia" w:ascii="仿宋_GB2312" w:eastAsia="仿宋_GB2312"/>
          <w:b/>
          <w:sz w:val="32"/>
          <w:szCs w:val="32"/>
        </w:rPr>
        <w:t>第十六条</w:t>
      </w:r>
      <w:r>
        <w:rPr>
          <w:rFonts w:hint="eastAsia" w:ascii="仿宋_GB2312" w:eastAsia="仿宋_GB2312"/>
          <w:sz w:val="32"/>
          <w:szCs w:val="32"/>
        </w:rPr>
        <w:t xml:space="preserve"> 电力企业应当接受国家能源局及其派出机构的安全监督、检查、指导，根据需要如实提供下列有关网络安全等级保护的信息资料及数据文件：</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（一）网络安全等级保护定级备案事项变更情况；</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（二）网络安全组织、人员、岗位职责的变动情况；</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（三）网络安全管理制度、措施变更情况；</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（四）网络运行状况记录；</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（五）电力企业及上级部门对网络安全状况的检查记录；</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（六）测评机构出具的网络安全等级保护测评报告；</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（七）网络安全产品使用的变更情况；</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（八）网络安全事件应急预案，网络安全事件应急处置结果报告；</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（九）网络数据容灾备份情况；</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（十）网络安全建设、整改结果报告；</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（十一）其他需要提供的材料。</w:t>
      </w:r>
    </w:p>
    <w:p>
      <w:pPr>
        <w:spacing w:line="578" w:lineRule="exact"/>
        <w:ind w:firstLine="643" w:firstLineChars="200"/>
        <w:rPr>
          <w:rFonts w:hint="eastAsia" w:ascii="仿宋_GB2312" w:eastAsia="仿宋_GB2312"/>
          <w:sz w:val="32"/>
          <w:szCs w:val="32"/>
        </w:rPr>
      </w:pPr>
      <w:r>
        <w:rPr>
          <w:rFonts w:hint="eastAsia" w:ascii="仿宋_GB2312" w:eastAsia="仿宋_GB2312"/>
          <w:b/>
          <w:sz w:val="32"/>
          <w:szCs w:val="32"/>
        </w:rPr>
        <w:t>第十七条</w:t>
      </w:r>
      <w:r>
        <w:rPr>
          <w:rFonts w:hint="eastAsia" w:ascii="仿宋_GB2312" w:eastAsia="仿宋_GB2312"/>
          <w:sz w:val="32"/>
          <w:szCs w:val="32"/>
        </w:rPr>
        <w:t xml:space="preserve"> 针对网络安全检查发现的问题，电力企业应当按照网络安全等级保护管理规范和技术标准组织安全建设整改。必要时，国家能源局及其派出机构可对整改情况进行抽查。</w:t>
      </w:r>
    </w:p>
    <w:p>
      <w:pPr>
        <w:spacing w:line="578" w:lineRule="exact"/>
        <w:ind w:firstLine="643" w:firstLineChars="200"/>
        <w:rPr>
          <w:rFonts w:hint="eastAsia" w:ascii="仿宋_GB2312" w:eastAsia="仿宋_GB2312"/>
          <w:sz w:val="32"/>
          <w:szCs w:val="32"/>
        </w:rPr>
      </w:pPr>
      <w:r>
        <w:rPr>
          <w:rFonts w:hint="eastAsia" w:ascii="仿宋_GB2312" w:eastAsia="仿宋_GB2312"/>
          <w:b/>
          <w:sz w:val="32"/>
          <w:szCs w:val="32"/>
        </w:rPr>
        <w:t>第十八条</w:t>
      </w:r>
      <w:r>
        <w:rPr>
          <w:rFonts w:hint="eastAsia" w:ascii="仿宋_GB2312" w:eastAsia="仿宋_GB2312"/>
          <w:sz w:val="32"/>
          <w:szCs w:val="32"/>
        </w:rPr>
        <w:t xml:space="preserve"> 电力企业应当选择符合下列条件的测评机构进行网络安全等级保护测评：</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（一）测评机构应获得国家认证认可委员会批准的认证机构发放的《网络安全等级测评与检测评估机构服务认证证书》并纳入《全国网络安全等级测评与检测评估机构目录》；</w:t>
      </w:r>
    </w:p>
    <w:p>
      <w:pPr>
        <w:spacing w:line="578" w:lineRule="exact"/>
        <w:ind w:firstLine="640" w:firstLineChars="200"/>
        <w:rPr>
          <w:rFonts w:ascii="仿宋_GB2312" w:hAnsi="仿宋_GB2312" w:eastAsia="仿宋_GB2312" w:cs="宋体"/>
          <w:kern w:val="0"/>
          <w:sz w:val="32"/>
          <w:szCs w:val="24"/>
        </w:rPr>
      </w:pPr>
      <w:r>
        <w:rPr>
          <w:rFonts w:hint="eastAsia" w:ascii="仿宋_GB2312" w:eastAsia="仿宋_GB2312"/>
          <w:sz w:val="32"/>
          <w:szCs w:val="32"/>
        </w:rPr>
        <w:t>（二）从事电力监控系统网络安全等级保护测评的机构应熟</w:t>
      </w:r>
      <w:r>
        <w:rPr>
          <w:rFonts w:hint="eastAsia" w:ascii="仿宋_GB2312" w:hAnsi="仿宋_GB2312" w:eastAsia="仿宋_GB2312" w:cs="宋体"/>
          <w:kern w:val="0"/>
          <w:sz w:val="32"/>
          <w:szCs w:val="24"/>
        </w:rPr>
        <w:t>悉电力监控系统网络安全管理和技术防护要求，具备相应的服务能力和经验。从事电力监控系统第二级网络等级保护测评的机构应具备近2年内30套以上工业控制系统等级保护测评或风险评估服务经验；从事电力监控系统第三级网络等级保护测评的机构应具备近3年内50套以上电力监控系统安全防护评估服务经验；从事电力监控系统第四级及以上网络等级保护测评的机构应具备5年以上电力监控系统安全防护评估服务经验；</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（三）对属于电力行业关键信息基础设施的网络，选择测评机构时应保证其安全可信；</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（四）禁止选择被国家能源局通报有不良行为或被相关管理部门通报整改的测评机构；</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（五）电力企业应采取签署保密协议、开展安全保密培训和现场监督等措施，加强对测评机构、测评人员和测评过程的安全保密管理，避免发生泄密事件或电力安全生产事件。</w:t>
      </w:r>
    </w:p>
    <w:p>
      <w:pPr>
        <w:spacing w:line="578" w:lineRule="exact"/>
        <w:ind w:firstLine="643" w:firstLineChars="200"/>
        <w:rPr>
          <w:rFonts w:hint="eastAsia" w:ascii="仿宋_GB2312" w:eastAsia="仿宋_GB2312"/>
          <w:sz w:val="32"/>
          <w:szCs w:val="32"/>
        </w:rPr>
      </w:pPr>
      <w:r>
        <w:rPr>
          <w:rFonts w:hint="eastAsia" w:ascii="仿宋_GB2312" w:eastAsia="仿宋_GB2312"/>
          <w:b/>
          <w:sz w:val="32"/>
          <w:szCs w:val="32"/>
        </w:rPr>
        <w:t>第十九条</w:t>
      </w:r>
      <w:r>
        <w:rPr>
          <w:rFonts w:hint="eastAsia" w:ascii="仿宋_GB2312" w:eastAsia="仿宋_GB2312"/>
          <w:sz w:val="32"/>
          <w:szCs w:val="32"/>
        </w:rPr>
        <w:t xml:space="preserve"> 国家能源局及其派出机构在开展电力企业网络安全检查工作时，同步对测评机构开展的电力监控系统等级保护测评工作情况进行监督检查。</w:t>
      </w:r>
    </w:p>
    <w:p>
      <w:pPr>
        <w:spacing w:line="578" w:lineRule="exact"/>
        <w:contextualSpacing/>
        <w:jc w:val="center"/>
        <w:outlineLvl w:val="0"/>
        <w:rPr>
          <w:rFonts w:ascii="黑体" w:hAnsi="黑体" w:eastAsia="黑体"/>
          <w:sz w:val="32"/>
          <w:szCs w:val="32"/>
        </w:rPr>
      </w:pPr>
      <w:r>
        <w:rPr>
          <w:rFonts w:hint="eastAsia" w:ascii="黑体" w:hAnsi="黑体" w:eastAsia="黑体"/>
          <w:sz w:val="32"/>
          <w:szCs w:val="32"/>
        </w:rPr>
        <w:t>第四章 网络安全等级保护的密码管理</w:t>
      </w:r>
    </w:p>
    <w:p>
      <w:pPr>
        <w:spacing w:line="578" w:lineRule="exact"/>
        <w:ind w:firstLine="643" w:firstLineChars="200"/>
        <w:rPr>
          <w:rFonts w:hint="eastAsia" w:ascii="仿宋_GB2312" w:eastAsia="仿宋_GB2312"/>
          <w:sz w:val="32"/>
          <w:szCs w:val="32"/>
        </w:rPr>
      </w:pPr>
      <w:r>
        <w:rPr>
          <w:rFonts w:hint="eastAsia" w:ascii="仿宋_GB2312" w:eastAsia="仿宋_GB2312"/>
          <w:b/>
          <w:sz w:val="32"/>
          <w:szCs w:val="32"/>
        </w:rPr>
        <w:t>第二十条</w:t>
      </w:r>
      <w:r>
        <w:rPr>
          <w:rFonts w:hint="eastAsia" w:ascii="仿宋_GB2312" w:eastAsia="仿宋_GB2312"/>
          <w:sz w:val="32"/>
          <w:szCs w:val="32"/>
        </w:rPr>
        <w:t xml:space="preserve"> 电力企业采用密码对不涉及国家秘密的网络进行等级保护的，应当遵照《中华人民共和国密码法》等有关法律法规规定和国家密码管理部门制定的网络安全等级保护密码技术标准执行。</w:t>
      </w:r>
    </w:p>
    <w:p>
      <w:pPr>
        <w:spacing w:line="578" w:lineRule="exact"/>
        <w:ind w:firstLine="643" w:firstLineChars="200"/>
        <w:rPr>
          <w:rFonts w:hint="eastAsia" w:ascii="仿宋_GB2312" w:eastAsia="仿宋_GB2312"/>
          <w:sz w:val="32"/>
          <w:szCs w:val="32"/>
        </w:rPr>
      </w:pPr>
      <w:r>
        <w:rPr>
          <w:rFonts w:hint="eastAsia" w:ascii="仿宋_GB2312" w:eastAsia="仿宋_GB2312"/>
          <w:b/>
          <w:sz w:val="32"/>
          <w:szCs w:val="32"/>
        </w:rPr>
        <w:t>第二十一条</w:t>
      </w:r>
      <w:r>
        <w:rPr>
          <w:rFonts w:hint="eastAsia" w:ascii="仿宋_GB2312" w:eastAsia="仿宋_GB2312"/>
          <w:sz w:val="32"/>
          <w:szCs w:val="32"/>
        </w:rPr>
        <w:t xml:space="preserve"> 电力企业网络安全等级保护中密码的配备、使用和管理等，应当严格执行国家密码管理的有关规定。运用密码技术进行网络安全等级保护建设与整改时，应采用商用密码检测、认证机构检测认证合格的商用密码产品和服务。涉及商用密码进口的，还应当符合国家商用密码进口许可有关要求。</w:t>
      </w:r>
    </w:p>
    <w:p>
      <w:pPr>
        <w:spacing w:line="578" w:lineRule="exact"/>
        <w:ind w:firstLine="643" w:firstLineChars="200"/>
        <w:rPr>
          <w:rFonts w:hint="eastAsia" w:ascii="仿宋_GB2312" w:eastAsia="仿宋_GB2312"/>
          <w:sz w:val="32"/>
          <w:szCs w:val="32"/>
        </w:rPr>
      </w:pPr>
      <w:r>
        <w:rPr>
          <w:rFonts w:hint="eastAsia" w:ascii="仿宋_GB2312" w:eastAsia="仿宋_GB2312"/>
          <w:b/>
          <w:sz w:val="32"/>
          <w:szCs w:val="32"/>
        </w:rPr>
        <w:t>第二十二条</w:t>
      </w:r>
      <w:r>
        <w:rPr>
          <w:rFonts w:hint="eastAsia" w:ascii="仿宋_GB2312" w:eastAsia="仿宋_GB2312"/>
          <w:sz w:val="32"/>
          <w:szCs w:val="32"/>
        </w:rPr>
        <w:t xml:space="preserve"> 对第三级及以上网络，电力企业应在网络规划、建设和运行阶段，按照商用密码应用安全性评估管理办法和标准规范，自行或者委托商用密码检测机构开展商用密码应用安全性评估工作。</w:t>
      </w:r>
    </w:p>
    <w:p>
      <w:pPr>
        <w:spacing w:line="578" w:lineRule="exact"/>
        <w:ind w:firstLine="643" w:firstLineChars="200"/>
        <w:rPr>
          <w:rFonts w:hint="eastAsia" w:ascii="仿宋_GB2312" w:eastAsia="仿宋_GB2312"/>
          <w:sz w:val="32"/>
          <w:szCs w:val="32"/>
        </w:rPr>
      </w:pPr>
      <w:r>
        <w:rPr>
          <w:rFonts w:hint="eastAsia" w:ascii="仿宋_GB2312" w:eastAsia="仿宋_GB2312"/>
          <w:b/>
          <w:sz w:val="32"/>
          <w:szCs w:val="32"/>
        </w:rPr>
        <w:t>第二十三条</w:t>
      </w:r>
      <w:r>
        <w:rPr>
          <w:rFonts w:hint="eastAsia" w:ascii="仿宋_GB2312" w:eastAsia="仿宋_GB2312"/>
          <w:sz w:val="32"/>
          <w:szCs w:val="32"/>
        </w:rPr>
        <w:t xml:space="preserve"> 各级密码管理部门对网络安全等级保护工作中密码配备、使用和管理的情况进行检查和安全性评估时，相关电力企业应当积极配合。对于检查和安全性评估发现的问题，应当按照国家密码管理的相关规定要求及时整改。</w:t>
      </w:r>
    </w:p>
    <w:p>
      <w:pPr>
        <w:spacing w:line="578" w:lineRule="exact"/>
        <w:jc w:val="center"/>
        <w:outlineLvl w:val="0"/>
        <w:rPr>
          <w:rFonts w:ascii="黑体" w:hAnsi="黑体" w:eastAsia="黑体"/>
          <w:sz w:val="32"/>
          <w:szCs w:val="32"/>
        </w:rPr>
      </w:pPr>
      <w:r>
        <w:rPr>
          <w:rFonts w:hint="eastAsia" w:ascii="黑体" w:hAnsi="黑体" w:eastAsia="黑体"/>
          <w:sz w:val="32"/>
          <w:szCs w:val="32"/>
        </w:rPr>
        <w:t>第五章 法律责任</w:t>
      </w:r>
    </w:p>
    <w:p>
      <w:pPr>
        <w:spacing w:line="578" w:lineRule="exact"/>
        <w:ind w:firstLine="643" w:firstLineChars="200"/>
        <w:rPr>
          <w:rFonts w:hint="eastAsia" w:ascii="仿宋_GB2312" w:eastAsia="仿宋_GB2312"/>
          <w:sz w:val="32"/>
          <w:szCs w:val="32"/>
        </w:rPr>
      </w:pPr>
      <w:r>
        <w:rPr>
          <w:rFonts w:hint="eastAsia" w:ascii="仿宋_GB2312" w:eastAsia="仿宋_GB2312"/>
          <w:b/>
          <w:sz w:val="32"/>
          <w:szCs w:val="32"/>
        </w:rPr>
        <w:t>第二十四条</w:t>
      </w:r>
      <w:r>
        <w:rPr>
          <w:rFonts w:hint="eastAsia" w:ascii="仿宋_GB2312" w:eastAsia="仿宋_GB2312"/>
          <w:sz w:val="32"/>
          <w:szCs w:val="32"/>
        </w:rPr>
        <w:t xml:space="preserve"> 电力企业违反国家相关规定及本办法规定，由国家能源局及其派出机构按照职责分工责令其限期改正；逾期不改正的，给予警告，并向其上级主管部门通报情况，建议对其直接负责的主管人员和其他直接责任人员予以处理，造成严重损害的，由公安机关、密码管理部门依照有关法律、法规予以处理。</w:t>
      </w:r>
    </w:p>
    <w:p>
      <w:pPr>
        <w:spacing w:line="578" w:lineRule="exact"/>
        <w:ind w:firstLine="643" w:firstLineChars="200"/>
        <w:rPr>
          <w:rFonts w:hint="eastAsia" w:ascii="仿宋_GB2312" w:eastAsia="仿宋_GB2312"/>
          <w:sz w:val="32"/>
          <w:szCs w:val="32"/>
        </w:rPr>
      </w:pPr>
      <w:r>
        <w:rPr>
          <w:rFonts w:hint="eastAsia" w:ascii="仿宋_GB2312" w:eastAsia="仿宋_GB2312"/>
          <w:b/>
          <w:sz w:val="32"/>
          <w:szCs w:val="32"/>
        </w:rPr>
        <w:t>第二十五条</w:t>
      </w:r>
      <w:r>
        <w:rPr>
          <w:rFonts w:hint="eastAsia" w:ascii="仿宋_GB2312" w:eastAsia="仿宋_GB2312"/>
          <w:sz w:val="32"/>
          <w:szCs w:val="32"/>
        </w:rPr>
        <w:t xml:space="preserve"> 网络安全监管部门及其工作人员在履行监督管理职责中，玩忽职守、滥用职权、徇私舞弊的，依法给予行政处分；构成犯罪的，依法追究刑事责任。</w:t>
      </w:r>
    </w:p>
    <w:p>
      <w:pPr>
        <w:spacing w:line="578" w:lineRule="exact"/>
        <w:ind w:firstLine="643" w:firstLineChars="200"/>
        <w:rPr>
          <w:rFonts w:hint="eastAsia" w:ascii="仿宋_GB2312" w:eastAsia="仿宋_GB2312"/>
          <w:sz w:val="32"/>
          <w:szCs w:val="32"/>
        </w:rPr>
      </w:pPr>
      <w:r>
        <w:rPr>
          <w:rFonts w:hint="eastAsia" w:ascii="仿宋_GB2312" w:eastAsia="仿宋_GB2312"/>
          <w:b/>
          <w:sz w:val="32"/>
          <w:szCs w:val="32"/>
        </w:rPr>
        <w:t>第二十六条</w:t>
      </w:r>
      <w:r>
        <w:rPr>
          <w:rFonts w:hint="eastAsia" w:ascii="仿宋_GB2312" w:eastAsia="仿宋_GB2312"/>
          <w:sz w:val="32"/>
          <w:szCs w:val="32"/>
        </w:rPr>
        <w:t xml:space="preserve"> 测评机构违反国家有关法律法规和电力行业规范性文件要求，发生以下不良行为时，国家能源局可向国家有关部门提出限期整改、注销测评机构证书等建议，并向电力企业通报相关信息：</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（一）提供不客观、不公正的等级保护测评服务，出具虚假或不符合实际情况的测评报告，影响等级保护测评的质量和效果；</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二）发生重大网络安全泄密事件，导致等级保护测评活动中知悉的国家秘密、工作秘密、商业秘密、重要数据和个人信息被泄露，或者非法使用或擅自发布、披露在提供服务中收集掌握的数据信息和系统漏洞、恶意代码、网络入侵攻击等网络安全信息；</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（三）由于测评机构从业人员的因素，导致发生重大电力安全生产事件；</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（四）未向公安机关报备，测评机构从业人员擅自参加境外组织的网络安全竞赛等活动。</w:t>
      </w:r>
    </w:p>
    <w:p>
      <w:pPr>
        <w:spacing w:line="578" w:lineRule="exact"/>
        <w:contextualSpacing/>
        <w:jc w:val="center"/>
        <w:outlineLvl w:val="0"/>
        <w:rPr>
          <w:rFonts w:ascii="黑体" w:hAnsi="黑体" w:eastAsia="黑体"/>
          <w:sz w:val="32"/>
          <w:szCs w:val="32"/>
        </w:rPr>
      </w:pPr>
      <w:r>
        <w:rPr>
          <w:rFonts w:hint="eastAsia" w:ascii="黑体" w:hAnsi="黑体" w:eastAsia="黑体"/>
          <w:sz w:val="32"/>
          <w:szCs w:val="32"/>
        </w:rPr>
        <w:t>第六章 附 则</w:t>
      </w:r>
    </w:p>
    <w:p>
      <w:pPr>
        <w:spacing w:line="578" w:lineRule="exact"/>
        <w:ind w:firstLine="643" w:firstLineChars="200"/>
        <w:rPr>
          <w:rFonts w:hint="eastAsia" w:ascii="仿宋_GB2312" w:eastAsia="仿宋_GB2312"/>
          <w:sz w:val="32"/>
          <w:szCs w:val="32"/>
        </w:rPr>
      </w:pPr>
      <w:r>
        <w:rPr>
          <w:rFonts w:hint="eastAsia" w:ascii="仿宋_GB2312" w:eastAsia="仿宋_GB2312"/>
          <w:b/>
          <w:sz w:val="32"/>
          <w:szCs w:val="32"/>
        </w:rPr>
        <w:t>第二十七条</w:t>
      </w:r>
      <w:r>
        <w:rPr>
          <w:rFonts w:hint="eastAsia" w:ascii="仿宋_GB2312" w:eastAsia="仿宋_GB2312"/>
          <w:sz w:val="32"/>
          <w:szCs w:val="32"/>
        </w:rPr>
        <w:t xml:space="preserve"> 本办法由国家能源局负责解释。</w:t>
      </w:r>
    </w:p>
    <w:p>
      <w:pPr>
        <w:spacing w:line="578" w:lineRule="exact"/>
        <w:ind w:firstLine="643" w:firstLineChars="200"/>
        <w:rPr>
          <w:rFonts w:hint="eastAsia" w:ascii="仿宋_GB2312" w:eastAsia="仿宋_GB2312"/>
          <w:sz w:val="32"/>
          <w:szCs w:val="32"/>
        </w:rPr>
      </w:pPr>
      <w:r>
        <w:rPr>
          <w:rFonts w:hint="eastAsia" w:ascii="仿宋_GB2312" w:eastAsia="仿宋_GB2312"/>
          <w:b/>
          <w:sz w:val="32"/>
          <w:szCs w:val="32"/>
        </w:rPr>
        <w:t>第二十八条</w:t>
      </w:r>
      <w:r>
        <w:rPr>
          <w:rFonts w:hint="eastAsia" w:ascii="仿宋_GB2312" w:eastAsia="仿宋_GB2312"/>
          <w:sz w:val="32"/>
          <w:szCs w:val="32"/>
        </w:rPr>
        <w:t xml:space="preserve"> </w:t>
      </w:r>
      <w:r>
        <w:rPr>
          <w:rFonts w:hint="eastAsia" w:ascii="仿宋_GB2312" w:hAnsi="仿宋_GB2312" w:eastAsia="仿宋_GB2312" w:cs="宋体"/>
          <w:kern w:val="0"/>
          <w:sz w:val="32"/>
          <w:szCs w:val="24"/>
        </w:rPr>
        <w:t>本办法自发布之日起施行，有效期五年。原《电力行业信息安全等级保护管理办法》（国能安全〔2014〕318号）自本办法发布之日起废止。</w:t>
      </w:r>
    </w:p>
    <w:p>
      <w:pPr>
        <w:pageBreakBefore/>
        <w:spacing w:line="578" w:lineRule="exact"/>
        <w:contextualSpacing/>
        <w:rPr>
          <w:rFonts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附件</w:t>
      </w:r>
    </w:p>
    <w:p>
      <w:pPr>
        <w:spacing w:line="578" w:lineRule="exact"/>
        <w:contextualSpacing/>
        <w:jc w:val="center"/>
        <w:rPr>
          <w:rFonts w:ascii="黑体" w:hAnsi="黑体" w:eastAsia="黑体"/>
          <w:sz w:val="32"/>
          <w:szCs w:val="32"/>
        </w:rPr>
      </w:pPr>
      <w:r>
        <w:rPr>
          <w:rFonts w:hint="eastAsia" w:ascii="黑体" w:hAnsi="黑体" w:eastAsia="黑体"/>
          <w:sz w:val="32"/>
          <w:szCs w:val="32"/>
        </w:rPr>
        <w:t>电力行业网络安全等级保护定级审核表</w:t>
      </w:r>
    </w:p>
    <w:p>
      <w:pPr>
        <w:spacing w:line="578" w:lineRule="exact"/>
        <w:jc w:val="center"/>
        <w:rPr>
          <w:rFonts w:ascii="宋体" w:hAnsi="宋体"/>
          <w:kern w:val="0"/>
          <w:sz w:val="24"/>
          <w:szCs w:val="24"/>
        </w:rPr>
      </w:pPr>
      <w:r>
        <w:rPr>
          <w:rFonts w:hint="eastAsia" w:ascii="宋体" w:hAnsi="宋体"/>
          <w:kern w:val="0"/>
          <w:sz w:val="24"/>
          <w:szCs w:val="24"/>
        </w:rPr>
        <w:t>填表日期：      年     月     日</w:t>
      </w:r>
    </w:p>
    <w:tbl>
      <w:tblPr>
        <w:tblStyle w:val="8"/>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43"/>
        <w:gridCol w:w="1133"/>
        <w:gridCol w:w="993"/>
        <w:gridCol w:w="1985"/>
        <w:gridCol w:w="19"/>
        <w:gridCol w:w="1251"/>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8" w:type="dxa"/>
            <w:gridSpan w:val="8"/>
            <w:shd w:val="clear" w:color="auto" w:fill="D8D8D8"/>
            <w:noWrap w:val="0"/>
            <w:vAlign w:val="center"/>
          </w:tcPr>
          <w:p>
            <w:pPr>
              <w:spacing w:line="578" w:lineRule="exact"/>
              <w:rPr>
                <w:rFonts w:ascii="仿宋_GB2312" w:hAnsi="CESI仿宋-GB2312" w:eastAsia="仿宋_GB2312" w:cs="CESI仿宋-GB2312"/>
                <w:kern w:val="0"/>
                <w:sz w:val="24"/>
                <w:szCs w:val="24"/>
              </w:rPr>
            </w:pPr>
            <w:r>
              <w:rPr>
                <w:rFonts w:hint="eastAsia" w:ascii="仿宋_GB2312" w:hAnsi="CESI仿宋-GB2312" w:eastAsia="仿宋_GB2312" w:cs="CESI仿宋-GB2312"/>
                <w:kern w:val="0"/>
                <w:sz w:val="24"/>
                <w:szCs w:val="24"/>
              </w:rPr>
              <w:t>一、单位信息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noWrap w:val="0"/>
            <w:vAlign w:val="center"/>
          </w:tcPr>
          <w:p>
            <w:pPr>
              <w:spacing w:line="578" w:lineRule="exact"/>
              <w:jc w:val="center"/>
              <w:rPr>
                <w:rFonts w:ascii="仿宋_GB2312" w:hAnsi="CESI仿宋-GB2312" w:eastAsia="仿宋_GB2312" w:cs="CESI仿宋-GB2312"/>
                <w:kern w:val="0"/>
                <w:sz w:val="24"/>
                <w:szCs w:val="24"/>
              </w:rPr>
            </w:pPr>
            <w:r>
              <w:rPr>
                <w:rFonts w:hint="eastAsia" w:ascii="仿宋_GB2312" w:hAnsi="CESI仿宋-GB2312" w:eastAsia="仿宋_GB2312" w:cs="CESI仿宋-GB2312"/>
                <w:kern w:val="0"/>
                <w:sz w:val="24"/>
                <w:szCs w:val="24"/>
              </w:rPr>
              <w:t>单位名称</w:t>
            </w:r>
          </w:p>
        </w:tc>
        <w:tc>
          <w:tcPr>
            <w:tcW w:w="7830" w:type="dxa"/>
            <w:gridSpan w:val="7"/>
            <w:shd w:val="clear" w:color="auto" w:fill="auto"/>
            <w:noWrap w:val="0"/>
            <w:vAlign w:val="center"/>
          </w:tcPr>
          <w:p>
            <w:pPr>
              <w:spacing w:line="578" w:lineRule="exact"/>
              <w:rPr>
                <w:rFonts w:ascii="仿宋_GB2312" w:hAnsi="CESI仿宋-GB2312" w:eastAsia="仿宋_GB2312" w:cs="CESI仿宋-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noWrap w:val="0"/>
            <w:vAlign w:val="center"/>
          </w:tcPr>
          <w:p>
            <w:pPr>
              <w:spacing w:line="578" w:lineRule="exact"/>
              <w:jc w:val="center"/>
              <w:rPr>
                <w:rFonts w:ascii="仿宋_GB2312" w:hAnsi="CESI仿宋-GB2312" w:eastAsia="仿宋_GB2312" w:cs="CESI仿宋-GB2312"/>
                <w:kern w:val="0"/>
                <w:sz w:val="24"/>
                <w:szCs w:val="24"/>
              </w:rPr>
            </w:pPr>
            <w:r>
              <w:rPr>
                <w:rFonts w:hint="eastAsia" w:ascii="仿宋_GB2312" w:hAnsi="CESI仿宋-GB2312" w:eastAsia="仿宋_GB2312" w:cs="CESI仿宋-GB2312"/>
                <w:kern w:val="0"/>
                <w:sz w:val="24"/>
                <w:szCs w:val="24"/>
              </w:rPr>
              <w:t>单位地址</w:t>
            </w:r>
          </w:p>
        </w:tc>
        <w:tc>
          <w:tcPr>
            <w:tcW w:w="7830" w:type="dxa"/>
            <w:gridSpan w:val="7"/>
            <w:shd w:val="clear" w:color="auto" w:fill="auto"/>
            <w:noWrap w:val="0"/>
            <w:vAlign w:val="top"/>
          </w:tcPr>
          <w:p>
            <w:pPr>
              <w:spacing w:line="578" w:lineRule="exact"/>
              <w:rPr>
                <w:rFonts w:ascii="仿宋_GB2312" w:hAnsi="CESI仿宋-GB2312" w:eastAsia="仿宋_GB2312" w:cs="CESI仿宋-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shd w:val="clear" w:color="auto" w:fill="auto"/>
            <w:noWrap w:val="0"/>
            <w:vAlign w:val="center"/>
          </w:tcPr>
          <w:p>
            <w:pPr>
              <w:spacing w:line="578" w:lineRule="exact"/>
              <w:jc w:val="center"/>
              <w:rPr>
                <w:rFonts w:ascii="仿宋_GB2312" w:hAnsi="CESI仿宋-GB2312" w:eastAsia="仿宋_GB2312" w:cs="CESI仿宋-GB2312"/>
                <w:kern w:val="0"/>
                <w:sz w:val="24"/>
                <w:szCs w:val="24"/>
              </w:rPr>
            </w:pPr>
            <w:r>
              <w:rPr>
                <w:rFonts w:hint="eastAsia" w:ascii="仿宋_GB2312" w:hAnsi="CESI仿宋-GB2312" w:eastAsia="仿宋_GB2312" w:cs="CESI仿宋-GB2312"/>
                <w:kern w:val="0"/>
                <w:sz w:val="24"/>
                <w:szCs w:val="24"/>
              </w:rPr>
              <w:t>联系人</w:t>
            </w:r>
          </w:p>
        </w:tc>
        <w:tc>
          <w:tcPr>
            <w:tcW w:w="1876" w:type="dxa"/>
            <w:gridSpan w:val="2"/>
            <w:shd w:val="clear" w:color="auto" w:fill="auto"/>
            <w:noWrap w:val="0"/>
            <w:vAlign w:val="top"/>
          </w:tcPr>
          <w:p>
            <w:pPr>
              <w:spacing w:line="578" w:lineRule="exact"/>
              <w:rPr>
                <w:rFonts w:ascii="仿宋_GB2312" w:hAnsi="CESI仿宋-GB2312" w:eastAsia="仿宋_GB2312" w:cs="CESI仿宋-GB2312"/>
                <w:kern w:val="0"/>
                <w:sz w:val="24"/>
                <w:szCs w:val="24"/>
              </w:rPr>
            </w:pPr>
          </w:p>
        </w:tc>
        <w:tc>
          <w:tcPr>
            <w:tcW w:w="993" w:type="dxa"/>
            <w:shd w:val="clear" w:color="auto" w:fill="auto"/>
            <w:noWrap w:val="0"/>
            <w:vAlign w:val="top"/>
          </w:tcPr>
          <w:p>
            <w:pPr>
              <w:spacing w:line="578" w:lineRule="exact"/>
              <w:jc w:val="center"/>
              <w:rPr>
                <w:rFonts w:ascii="仿宋_GB2312" w:hAnsi="CESI仿宋-GB2312" w:eastAsia="仿宋_GB2312" w:cs="CESI仿宋-GB2312"/>
                <w:kern w:val="0"/>
                <w:sz w:val="24"/>
                <w:szCs w:val="24"/>
              </w:rPr>
            </w:pPr>
            <w:r>
              <w:rPr>
                <w:rFonts w:hint="eastAsia" w:ascii="仿宋_GB2312" w:hAnsi="CESI仿宋-GB2312" w:eastAsia="仿宋_GB2312" w:cs="CESI仿宋-GB2312"/>
                <w:kern w:val="0"/>
                <w:sz w:val="24"/>
                <w:szCs w:val="24"/>
              </w:rPr>
              <w:t>职务</w:t>
            </w:r>
          </w:p>
        </w:tc>
        <w:tc>
          <w:tcPr>
            <w:tcW w:w="2004" w:type="dxa"/>
            <w:gridSpan w:val="2"/>
            <w:shd w:val="clear" w:color="auto" w:fill="auto"/>
            <w:noWrap w:val="0"/>
            <w:vAlign w:val="top"/>
          </w:tcPr>
          <w:p>
            <w:pPr>
              <w:spacing w:line="578" w:lineRule="exact"/>
              <w:rPr>
                <w:rFonts w:ascii="仿宋_GB2312" w:hAnsi="CESI仿宋-GB2312" w:eastAsia="仿宋_GB2312" w:cs="CESI仿宋-GB2312"/>
                <w:kern w:val="0"/>
                <w:sz w:val="24"/>
                <w:szCs w:val="24"/>
              </w:rPr>
            </w:pPr>
          </w:p>
        </w:tc>
        <w:tc>
          <w:tcPr>
            <w:tcW w:w="1251" w:type="dxa"/>
            <w:shd w:val="clear" w:color="auto" w:fill="auto"/>
            <w:noWrap w:val="0"/>
            <w:vAlign w:val="top"/>
          </w:tcPr>
          <w:p>
            <w:pPr>
              <w:spacing w:line="578" w:lineRule="exact"/>
              <w:rPr>
                <w:rFonts w:ascii="仿宋_GB2312" w:hAnsi="CESI仿宋-GB2312" w:eastAsia="仿宋_GB2312" w:cs="CESI仿宋-GB2312"/>
                <w:kern w:val="0"/>
                <w:sz w:val="24"/>
                <w:szCs w:val="24"/>
              </w:rPr>
            </w:pPr>
            <w:r>
              <w:rPr>
                <w:rFonts w:hint="eastAsia" w:ascii="仿宋_GB2312" w:hAnsi="CESI仿宋-GB2312" w:eastAsia="仿宋_GB2312" w:cs="CESI仿宋-GB2312"/>
                <w:kern w:val="0"/>
                <w:sz w:val="24"/>
                <w:szCs w:val="24"/>
              </w:rPr>
              <w:t>联系电话</w:t>
            </w:r>
          </w:p>
        </w:tc>
        <w:tc>
          <w:tcPr>
            <w:tcW w:w="1706" w:type="dxa"/>
            <w:shd w:val="clear" w:color="auto" w:fill="auto"/>
            <w:noWrap w:val="0"/>
            <w:vAlign w:val="top"/>
          </w:tcPr>
          <w:p>
            <w:pPr>
              <w:spacing w:line="578" w:lineRule="exact"/>
              <w:rPr>
                <w:rFonts w:ascii="仿宋_GB2312" w:hAnsi="CESI仿宋-GB2312" w:eastAsia="仿宋_GB2312" w:cs="CESI仿宋-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9498" w:type="dxa"/>
            <w:gridSpan w:val="8"/>
            <w:shd w:val="clear" w:color="auto" w:fill="D8D8D8"/>
            <w:noWrap w:val="0"/>
            <w:vAlign w:val="center"/>
          </w:tcPr>
          <w:p>
            <w:pPr>
              <w:spacing w:line="578" w:lineRule="exact"/>
              <w:rPr>
                <w:rFonts w:ascii="仿宋_GB2312" w:hAnsi="CESI仿宋-GB2312" w:eastAsia="仿宋_GB2312" w:cs="CESI仿宋-GB2312"/>
                <w:kern w:val="0"/>
                <w:sz w:val="24"/>
                <w:szCs w:val="24"/>
              </w:rPr>
            </w:pPr>
            <w:r>
              <w:rPr>
                <w:rFonts w:hint="eastAsia" w:ascii="仿宋_GB2312" w:hAnsi="CESI仿宋-GB2312" w:eastAsia="仿宋_GB2312" w:cs="CESI仿宋-GB2312"/>
                <w:kern w:val="0"/>
                <w:sz w:val="24"/>
                <w:szCs w:val="24"/>
              </w:rPr>
              <w:t>二、网络安全等级保护定级情况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1" w:type="dxa"/>
            <w:gridSpan w:val="2"/>
            <w:shd w:val="clear" w:color="auto" w:fill="auto"/>
            <w:noWrap w:val="0"/>
            <w:vAlign w:val="center"/>
          </w:tcPr>
          <w:p>
            <w:pPr>
              <w:spacing w:line="578" w:lineRule="exact"/>
              <w:jc w:val="center"/>
              <w:rPr>
                <w:rFonts w:ascii="仿宋_GB2312" w:hAnsi="CESI仿宋-GB2312" w:eastAsia="仿宋_GB2312" w:cs="CESI仿宋-GB2312"/>
                <w:kern w:val="0"/>
                <w:sz w:val="24"/>
                <w:szCs w:val="24"/>
              </w:rPr>
            </w:pPr>
            <w:r>
              <w:rPr>
                <w:rFonts w:hint="eastAsia" w:ascii="仿宋_GB2312" w:hAnsi="CESI仿宋-GB2312" w:eastAsia="仿宋_GB2312" w:cs="CESI仿宋-GB2312"/>
                <w:kern w:val="0"/>
                <w:sz w:val="24"/>
                <w:szCs w:val="24"/>
              </w:rPr>
              <w:t>定级对象名称</w:t>
            </w:r>
          </w:p>
        </w:tc>
        <w:tc>
          <w:tcPr>
            <w:tcW w:w="4111" w:type="dxa"/>
            <w:gridSpan w:val="3"/>
            <w:shd w:val="clear" w:color="auto" w:fill="auto"/>
            <w:noWrap w:val="0"/>
            <w:vAlign w:val="center"/>
          </w:tcPr>
          <w:p>
            <w:pPr>
              <w:spacing w:line="578" w:lineRule="exact"/>
              <w:jc w:val="center"/>
              <w:rPr>
                <w:rFonts w:ascii="仿宋_GB2312" w:hAnsi="CESI仿宋-GB2312" w:eastAsia="仿宋_GB2312" w:cs="CESI仿宋-GB2312"/>
                <w:kern w:val="0"/>
                <w:sz w:val="24"/>
                <w:szCs w:val="24"/>
              </w:rPr>
            </w:pPr>
            <w:r>
              <w:rPr>
                <w:rFonts w:hint="eastAsia" w:ascii="仿宋_GB2312" w:hAnsi="CESI仿宋-GB2312" w:eastAsia="仿宋_GB2312" w:cs="CESI仿宋-GB2312"/>
                <w:kern w:val="0"/>
                <w:sz w:val="24"/>
                <w:szCs w:val="24"/>
              </w:rPr>
              <w:t>定级对象概况</w:t>
            </w:r>
          </w:p>
        </w:tc>
        <w:tc>
          <w:tcPr>
            <w:tcW w:w="2976" w:type="dxa"/>
            <w:gridSpan w:val="3"/>
            <w:shd w:val="clear" w:color="auto" w:fill="auto"/>
            <w:noWrap w:val="0"/>
            <w:vAlign w:val="center"/>
          </w:tcPr>
          <w:p>
            <w:pPr>
              <w:spacing w:line="578" w:lineRule="exact"/>
              <w:jc w:val="center"/>
              <w:rPr>
                <w:rFonts w:ascii="仿宋_GB2312" w:hAnsi="CESI仿宋-GB2312" w:eastAsia="仿宋_GB2312" w:cs="CESI仿宋-GB2312"/>
                <w:kern w:val="0"/>
                <w:sz w:val="24"/>
                <w:szCs w:val="24"/>
              </w:rPr>
            </w:pPr>
            <w:r>
              <w:rPr>
                <w:rFonts w:hint="eastAsia" w:ascii="仿宋_GB2312" w:hAnsi="CESI仿宋-GB2312" w:eastAsia="仿宋_GB2312" w:cs="CESI仿宋-GB2312"/>
                <w:kern w:val="0"/>
                <w:sz w:val="24"/>
                <w:szCs w:val="24"/>
              </w:rPr>
              <w:t>拟定级结果（</w:t>
            </w:r>
            <w:r>
              <w:rPr>
                <w:rFonts w:ascii="Times New Roman" w:hAnsi="Times New Roman" w:eastAsia="仿宋_GB2312"/>
                <w:kern w:val="0"/>
                <w:sz w:val="24"/>
                <w:szCs w:val="24"/>
              </w:rPr>
              <w:t>SAG</w:t>
            </w:r>
            <w:r>
              <w:rPr>
                <w:rFonts w:ascii="仿宋_GB2312" w:hAnsi="CESI仿宋-GB2312" w:eastAsia="仿宋_GB2312" w:cs="CESI仿宋-GB231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411" w:type="dxa"/>
            <w:gridSpan w:val="2"/>
            <w:shd w:val="clear" w:color="auto" w:fill="auto"/>
            <w:noWrap w:val="0"/>
            <w:vAlign w:val="center"/>
          </w:tcPr>
          <w:p>
            <w:pPr>
              <w:spacing w:line="578" w:lineRule="exact"/>
              <w:jc w:val="center"/>
              <w:rPr>
                <w:rFonts w:ascii="仿宋_GB2312" w:hAnsi="CESI仿宋-GB2312" w:eastAsia="仿宋_GB2312" w:cs="CESI仿宋-GB2312"/>
                <w:kern w:val="0"/>
                <w:sz w:val="24"/>
                <w:szCs w:val="24"/>
              </w:rPr>
            </w:pPr>
          </w:p>
        </w:tc>
        <w:tc>
          <w:tcPr>
            <w:tcW w:w="4111" w:type="dxa"/>
            <w:gridSpan w:val="3"/>
            <w:shd w:val="clear" w:color="auto" w:fill="auto"/>
            <w:noWrap w:val="0"/>
            <w:vAlign w:val="top"/>
          </w:tcPr>
          <w:p>
            <w:pPr>
              <w:spacing w:line="578" w:lineRule="exact"/>
              <w:rPr>
                <w:rFonts w:ascii="仿宋_GB2312" w:hAnsi="CESI仿宋-GB2312" w:eastAsia="仿宋_GB2312" w:cs="CESI仿宋-GB2312"/>
                <w:kern w:val="0"/>
                <w:sz w:val="24"/>
                <w:szCs w:val="24"/>
              </w:rPr>
            </w:pPr>
          </w:p>
        </w:tc>
        <w:tc>
          <w:tcPr>
            <w:tcW w:w="2976" w:type="dxa"/>
            <w:gridSpan w:val="3"/>
            <w:shd w:val="clear" w:color="auto" w:fill="auto"/>
            <w:noWrap w:val="0"/>
            <w:vAlign w:val="top"/>
          </w:tcPr>
          <w:p>
            <w:pPr>
              <w:spacing w:line="578" w:lineRule="exact"/>
              <w:rPr>
                <w:rFonts w:ascii="仿宋_GB2312" w:hAnsi="CESI仿宋-GB2312" w:eastAsia="仿宋_GB2312" w:cs="CESI仿宋-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2411" w:type="dxa"/>
            <w:gridSpan w:val="2"/>
            <w:shd w:val="clear" w:color="auto" w:fill="auto"/>
            <w:noWrap w:val="0"/>
            <w:vAlign w:val="center"/>
          </w:tcPr>
          <w:p>
            <w:pPr>
              <w:spacing w:line="578" w:lineRule="exact"/>
              <w:jc w:val="center"/>
              <w:rPr>
                <w:rFonts w:ascii="仿宋_GB2312" w:hAnsi="CESI仿宋-GB2312" w:eastAsia="仿宋_GB2312" w:cs="CESI仿宋-GB2312"/>
                <w:kern w:val="0"/>
                <w:sz w:val="24"/>
                <w:szCs w:val="24"/>
              </w:rPr>
            </w:pPr>
          </w:p>
        </w:tc>
        <w:tc>
          <w:tcPr>
            <w:tcW w:w="4111" w:type="dxa"/>
            <w:gridSpan w:val="3"/>
            <w:shd w:val="clear" w:color="auto" w:fill="auto"/>
            <w:noWrap w:val="0"/>
            <w:vAlign w:val="top"/>
          </w:tcPr>
          <w:p>
            <w:pPr>
              <w:spacing w:line="578" w:lineRule="exact"/>
              <w:rPr>
                <w:rFonts w:ascii="仿宋_GB2312" w:hAnsi="CESI仿宋-GB2312" w:eastAsia="仿宋_GB2312" w:cs="CESI仿宋-GB2312"/>
                <w:kern w:val="0"/>
                <w:sz w:val="24"/>
                <w:szCs w:val="24"/>
              </w:rPr>
            </w:pPr>
          </w:p>
        </w:tc>
        <w:tc>
          <w:tcPr>
            <w:tcW w:w="2976" w:type="dxa"/>
            <w:gridSpan w:val="3"/>
            <w:shd w:val="clear" w:color="auto" w:fill="auto"/>
            <w:noWrap w:val="0"/>
            <w:vAlign w:val="top"/>
          </w:tcPr>
          <w:p>
            <w:pPr>
              <w:spacing w:line="578" w:lineRule="exact"/>
              <w:rPr>
                <w:rFonts w:ascii="仿宋_GB2312" w:hAnsi="CESI仿宋-GB2312" w:eastAsia="仿宋_GB2312" w:cs="CESI仿宋-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2411" w:type="dxa"/>
            <w:gridSpan w:val="2"/>
            <w:shd w:val="clear" w:color="auto" w:fill="auto"/>
            <w:noWrap w:val="0"/>
            <w:vAlign w:val="center"/>
          </w:tcPr>
          <w:p>
            <w:pPr>
              <w:spacing w:line="578" w:lineRule="exact"/>
              <w:jc w:val="center"/>
              <w:rPr>
                <w:rFonts w:ascii="仿宋_GB2312" w:hAnsi="CESI仿宋-GB2312" w:eastAsia="仿宋_GB2312" w:cs="CESI仿宋-GB2312"/>
                <w:kern w:val="0"/>
                <w:sz w:val="24"/>
                <w:szCs w:val="24"/>
              </w:rPr>
            </w:pPr>
          </w:p>
        </w:tc>
        <w:tc>
          <w:tcPr>
            <w:tcW w:w="4111" w:type="dxa"/>
            <w:gridSpan w:val="3"/>
            <w:shd w:val="clear" w:color="auto" w:fill="auto"/>
            <w:noWrap w:val="0"/>
            <w:vAlign w:val="top"/>
          </w:tcPr>
          <w:p>
            <w:pPr>
              <w:spacing w:line="578" w:lineRule="exact"/>
              <w:rPr>
                <w:rFonts w:ascii="仿宋_GB2312" w:hAnsi="CESI仿宋-GB2312" w:eastAsia="仿宋_GB2312" w:cs="CESI仿宋-GB2312"/>
                <w:kern w:val="0"/>
                <w:sz w:val="24"/>
                <w:szCs w:val="24"/>
              </w:rPr>
            </w:pPr>
          </w:p>
        </w:tc>
        <w:tc>
          <w:tcPr>
            <w:tcW w:w="2976" w:type="dxa"/>
            <w:gridSpan w:val="3"/>
            <w:shd w:val="clear" w:color="auto" w:fill="auto"/>
            <w:noWrap w:val="0"/>
            <w:vAlign w:val="top"/>
          </w:tcPr>
          <w:p>
            <w:pPr>
              <w:spacing w:line="578" w:lineRule="exact"/>
              <w:rPr>
                <w:rFonts w:ascii="仿宋_GB2312" w:hAnsi="CESI仿宋-GB2312" w:eastAsia="仿宋_GB2312" w:cs="CESI仿宋-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2411" w:type="dxa"/>
            <w:gridSpan w:val="2"/>
            <w:shd w:val="clear" w:color="auto" w:fill="auto"/>
            <w:noWrap w:val="0"/>
            <w:vAlign w:val="center"/>
          </w:tcPr>
          <w:p>
            <w:pPr>
              <w:spacing w:line="578" w:lineRule="exact"/>
              <w:jc w:val="center"/>
              <w:rPr>
                <w:rFonts w:ascii="仿宋_GB2312" w:hAnsi="CESI仿宋-GB2312" w:eastAsia="仿宋_GB2312" w:cs="CESI仿宋-GB2312"/>
                <w:kern w:val="0"/>
                <w:sz w:val="24"/>
                <w:szCs w:val="24"/>
              </w:rPr>
            </w:pPr>
          </w:p>
        </w:tc>
        <w:tc>
          <w:tcPr>
            <w:tcW w:w="4111" w:type="dxa"/>
            <w:gridSpan w:val="3"/>
            <w:shd w:val="clear" w:color="auto" w:fill="auto"/>
            <w:noWrap w:val="0"/>
            <w:vAlign w:val="top"/>
          </w:tcPr>
          <w:p>
            <w:pPr>
              <w:spacing w:line="578" w:lineRule="exact"/>
              <w:rPr>
                <w:rFonts w:ascii="仿宋_GB2312" w:hAnsi="CESI仿宋-GB2312" w:eastAsia="仿宋_GB2312" w:cs="CESI仿宋-GB2312"/>
                <w:kern w:val="0"/>
                <w:sz w:val="24"/>
                <w:szCs w:val="24"/>
              </w:rPr>
            </w:pPr>
          </w:p>
        </w:tc>
        <w:tc>
          <w:tcPr>
            <w:tcW w:w="2976" w:type="dxa"/>
            <w:gridSpan w:val="3"/>
            <w:shd w:val="clear" w:color="auto" w:fill="auto"/>
            <w:noWrap w:val="0"/>
            <w:vAlign w:val="top"/>
          </w:tcPr>
          <w:p>
            <w:pPr>
              <w:spacing w:line="578" w:lineRule="exact"/>
              <w:rPr>
                <w:rFonts w:ascii="仿宋_GB2312" w:hAnsi="CESI仿宋-GB2312" w:eastAsia="仿宋_GB2312" w:cs="CESI仿宋-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trPr>
        <w:tc>
          <w:tcPr>
            <w:tcW w:w="2411" w:type="dxa"/>
            <w:gridSpan w:val="2"/>
            <w:shd w:val="clear" w:color="auto" w:fill="auto"/>
            <w:noWrap w:val="0"/>
            <w:vAlign w:val="center"/>
          </w:tcPr>
          <w:p>
            <w:pPr>
              <w:spacing w:line="578" w:lineRule="exact"/>
              <w:jc w:val="center"/>
              <w:rPr>
                <w:rFonts w:ascii="仿宋_GB2312" w:hAnsi="CESI仿宋-GB2312" w:eastAsia="仿宋_GB2312" w:cs="CESI仿宋-GB2312"/>
                <w:kern w:val="0"/>
                <w:sz w:val="24"/>
                <w:szCs w:val="24"/>
              </w:rPr>
            </w:pPr>
          </w:p>
        </w:tc>
        <w:tc>
          <w:tcPr>
            <w:tcW w:w="4111" w:type="dxa"/>
            <w:gridSpan w:val="3"/>
            <w:shd w:val="clear" w:color="auto" w:fill="auto"/>
            <w:noWrap w:val="0"/>
            <w:vAlign w:val="top"/>
          </w:tcPr>
          <w:p>
            <w:pPr>
              <w:spacing w:line="578" w:lineRule="exact"/>
              <w:rPr>
                <w:rFonts w:ascii="仿宋_GB2312" w:hAnsi="CESI仿宋-GB2312" w:eastAsia="仿宋_GB2312" w:cs="CESI仿宋-GB2312"/>
                <w:kern w:val="0"/>
                <w:sz w:val="24"/>
                <w:szCs w:val="24"/>
              </w:rPr>
            </w:pPr>
          </w:p>
        </w:tc>
        <w:tc>
          <w:tcPr>
            <w:tcW w:w="2976" w:type="dxa"/>
            <w:gridSpan w:val="3"/>
            <w:shd w:val="clear" w:color="auto" w:fill="auto"/>
            <w:noWrap w:val="0"/>
            <w:vAlign w:val="top"/>
          </w:tcPr>
          <w:p>
            <w:pPr>
              <w:spacing w:line="578" w:lineRule="exact"/>
              <w:rPr>
                <w:rFonts w:ascii="仿宋_GB2312" w:hAnsi="CESI仿宋-GB2312" w:eastAsia="仿宋_GB2312" w:cs="CESI仿宋-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9498" w:type="dxa"/>
            <w:gridSpan w:val="8"/>
            <w:shd w:val="clear" w:color="auto" w:fill="D8D8D8"/>
            <w:noWrap w:val="0"/>
            <w:vAlign w:val="center"/>
          </w:tcPr>
          <w:p>
            <w:pPr>
              <w:spacing w:line="578" w:lineRule="exact"/>
              <w:rPr>
                <w:rFonts w:ascii="仿宋_GB2312" w:hAnsi="CESI仿宋-GB2312" w:eastAsia="仿宋_GB2312" w:cs="CESI仿宋-GB2312"/>
                <w:kern w:val="0"/>
                <w:sz w:val="24"/>
                <w:szCs w:val="24"/>
              </w:rPr>
            </w:pPr>
            <w:r>
              <w:rPr>
                <w:rFonts w:hint="eastAsia" w:ascii="仿宋_GB2312" w:hAnsi="CESI仿宋-GB2312" w:eastAsia="仿宋_GB2312" w:cs="CESI仿宋-GB2312"/>
                <w:kern w:val="0"/>
                <w:sz w:val="24"/>
                <w:szCs w:val="24"/>
              </w:rPr>
              <w:t>三、本单位网络安全管理部门审核意见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trPr>
        <w:tc>
          <w:tcPr>
            <w:tcW w:w="9498" w:type="dxa"/>
            <w:gridSpan w:val="8"/>
            <w:shd w:val="clear" w:color="auto" w:fill="auto"/>
            <w:noWrap w:val="0"/>
            <w:vAlign w:val="center"/>
          </w:tcPr>
          <w:p>
            <w:pPr>
              <w:spacing w:line="578" w:lineRule="exact"/>
              <w:rPr>
                <w:rFonts w:ascii="仿宋_GB2312" w:hAnsi="CESI仿宋-GB2312" w:eastAsia="仿宋_GB2312" w:cs="CESI仿宋-GB2312"/>
                <w:kern w:val="0"/>
                <w:sz w:val="24"/>
                <w:szCs w:val="24"/>
              </w:rPr>
            </w:pPr>
          </w:p>
          <w:p>
            <w:pPr>
              <w:spacing w:line="578" w:lineRule="exact"/>
              <w:rPr>
                <w:rFonts w:ascii="仿宋_GB2312" w:hAnsi="CESI仿宋-GB2312" w:eastAsia="仿宋_GB2312" w:cs="CESI仿宋-GB2312"/>
                <w:kern w:val="0"/>
                <w:sz w:val="24"/>
                <w:szCs w:val="24"/>
              </w:rPr>
            </w:pPr>
          </w:p>
          <w:p>
            <w:pPr>
              <w:spacing w:line="578" w:lineRule="exact"/>
              <w:rPr>
                <w:rFonts w:ascii="仿宋_GB2312" w:hAnsi="CESI仿宋-GB2312" w:eastAsia="仿宋_GB2312" w:cs="CESI仿宋-GB2312"/>
                <w:kern w:val="0"/>
                <w:sz w:val="24"/>
                <w:szCs w:val="24"/>
              </w:rPr>
            </w:pPr>
          </w:p>
          <w:p>
            <w:pPr>
              <w:wordWrap w:val="0"/>
              <w:spacing w:line="578" w:lineRule="exact"/>
              <w:jc w:val="right"/>
              <w:rPr>
                <w:rFonts w:ascii="仿宋_GB2312" w:hAnsi="CESI仿宋-GB2312" w:eastAsia="仿宋_GB2312" w:cs="CESI仿宋-GB2312"/>
                <w:kern w:val="0"/>
                <w:sz w:val="24"/>
                <w:szCs w:val="24"/>
              </w:rPr>
            </w:pPr>
            <w:r>
              <w:rPr>
                <w:rFonts w:hint="eastAsia" w:ascii="仿宋_GB2312" w:hAnsi="CESI仿宋-GB2312" w:eastAsia="仿宋_GB2312" w:cs="CESI仿宋-GB2312"/>
                <w:kern w:val="0"/>
                <w:sz w:val="24"/>
                <w:szCs w:val="24"/>
              </w:rPr>
              <w:t>主管部门：</w:t>
            </w:r>
            <w:r>
              <w:rPr>
                <w:rFonts w:ascii="仿宋_GB2312" w:hAnsi="CESI仿宋-GB2312" w:eastAsia="仿宋_GB2312" w:cs="CESI仿宋-GB2312"/>
                <w:kern w:val="0"/>
                <w:sz w:val="24"/>
                <w:szCs w:val="24"/>
              </w:rPr>
              <w:t xml:space="preserve"> （公章）  </w:t>
            </w:r>
          </w:p>
          <w:p>
            <w:pPr>
              <w:spacing w:line="578" w:lineRule="exact"/>
              <w:jc w:val="right"/>
              <w:rPr>
                <w:rFonts w:ascii="仿宋_GB2312" w:hAnsi="CESI仿宋-GB2312" w:eastAsia="仿宋_GB2312" w:cs="CESI仿宋-GB2312"/>
                <w:kern w:val="0"/>
                <w:sz w:val="24"/>
                <w:szCs w:val="24"/>
              </w:rPr>
            </w:pPr>
            <w:r>
              <w:rPr>
                <w:rFonts w:hint="eastAsia" w:ascii="仿宋_GB2312" w:hAnsi="CESI仿宋-GB2312" w:eastAsia="仿宋_GB2312" w:cs="CESI仿宋-GB2312"/>
                <w:kern w:val="0"/>
                <w:sz w:val="24"/>
                <w:szCs w:val="24"/>
              </w:rPr>
              <w:t>日期：</w:t>
            </w:r>
            <w:r>
              <w:rPr>
                <w:rFonts w:ascii="仿宋_GB2312" w:hAnsi="CESI仿宋-GB2312" w:eastAsia="仿宋_GB2312" w:cs="CESI仿宋-GB2312"/>
                <w:kern w:val="0"/>
                <w:sz w:val="24"/>
                <w:szCs w:val="24"/>
              </w:rPr>
              <w:t xml:space="preserve">   </w:t>
            </w:r>
            <w:r>
              <w:rPr>
                <w:rFonts w:hint="eastAsia" w:ascii="仿宋_GB2312" w:hAnsi="CESI仿宋-GB2312" w:eastAsia="仿宋_GB2312" w:cs="CESI仿宋-GB2312"/>
                <w:kern w:val="0"/>
                <w:sz w:val="24"/>
                <w:szCs w:val="24"/>
              </w:rPr>
              <w:t>年</w:t>
            </w:r>
            <w:r>
              <w:rPr>
                <w:rFonts w:ascii="仿宋_GB2312" w:hAnsi="CESI仿宋-GB2312" w:eastAsia="仿宋_GB2312" w:cs="CESI仿宋-GB2312"/>
                <w:kern w:val="0"/>
                <w:sz w:val="24"/>
                <w:szCs w:val="24"/>
              </w:rPr>
              <w:t xml:space="preserve">   </w:t>
            </w:r>
            <w:r>
              <w:rPr>
                <w:rFonts w:hint="eastAsia" w:ascii="仿宋_GB2312" w:hAnsi="CESI仿宋-GB2312" w:eastAsia="仿宋_GB2312" w:cs="CESI仿宋-GB2312"/>
                <w:kern w:val="0"/>
                <w:sz w:val="24"/>
                <w:szCs w:val="24"/>
              </w:rPr>
              <w:t>月</w:t>
            </w:r>
            <w:r>
              <w:rPr>
                <w:rFonts w:ascii="仿宋_GB2312" w:hAnsi="CESI仿宋-GB2312" w:eastAsia="仿宋_GB2312" w:cs="CESI仿宋-GB2312"/>
                <w:kern w:val="0"/>
                <w:sz w:val="24"/>
                <w:szCs w:val="24"/>
              </w:rPr>
              <w:t xml:space="preserve">   </w:t>
            </w:r>
            <w:r>
              <w:rPr>
                <w:rFonts w:hint="eastAsia" w:ascii="仿宋_GB2312" w:hAnsi="CESI仿宋-GB2312" w:eastAsia="仿宋_GB2312" w:cs="CESI仿宋-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498" w:type="dxa"/>
            <w:gridSpan w:val="8"/>
            <w:shd w:val="clear" w:color="auto" w:fill="D8D8D8"/>
            <w:noWrap w:val="0"/>
            <w:vAlign w:val="center"/>
          </w:tcPr>
          <w:p>
            <w:pPr>
              <w:spacing w:line="578" w:lineRule="exact"/>
              <w:rPr>
                <w:rFonts w:ascii="仿宋_GB2312" w:hAnsi="CESI仿宋-GB2312" w:eastAsia="仿宋_GB2312" w:cs="CESI仿宋-GB2312"/>
                <w:kern w:val="0"/>
                <w:sz w:val="24"/>
                <w:szCs w:val="24"/>
              </w:rPr>
            </w:pPr>
            <w:r>
              <w:rPr>
                <w:rFonts w:hint="eastAsia" w:ascii="仿宋_GB2312" w:hAnsi="CESI仿宋-GB2312" w:eastAsia="仿宋_GB2312" w:cs="CESI仿宋-GB2312"/>
                <w:kern w:val="0"/>
                <w:sz w:val="24"/>
                <w:szCs w:val="24"/>
              </w:rPr>
              <w:t>四、行业主管</w:t>
            </w:r>
            <w:r>
              <w:rPr>
                <w:rFonts w:ascii="仿宋_GB2312" w:hAnsi="CESI仿宋-GB2312" w:eastAsia="仿宋_GB2312" w:cs="CESI仿宋-GB2312"/>
                <w:kern w:val="0"/>
                <w:sz w:val="24"/>
                <w:szCs w:val="24"/>
                <w:lang w:val="en"/>
              </w:rPr>
              <w:t>/</w:t>
            </w:r>
            <w:r>
              <w:rPr>
                <w:rFonts w:hint="eastAsia" w:ascii="仿宋_GB2312" w:hAnsi="CESI仿宋-GB2312" w:eastAsia="仿宋_GB2312" w:cs="CESI仿宋-GB2312"/>
                <w:kern w:val="0"/>
                <w:sz w:val="24"/>
                <w:szCs w:val="24"/>
              </w:rPr>
              <w:t>监管部门审核意见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trPr>
        <w:tc>
          <w:tcPr>
            <w:tcW w:w="9498" w:type="dxa"/>
            <w:gridSpan w:val="8"/>
            <w:shd w:val="clear" w:color="auto" w:fill="auto"/>
            <w:noWrap w:val="0"/>
            <w:vAlign w:val="center"/>
          </w:tcPr>
          <w:p>
            <w:pPr>
              <w:spacing w:line="578" w:lineRule="exact"/>
              <w:rPr>
                <w:rFonts w:ascii="仿宋_GB2312" w:hAnsi="CESI仿宋-GB2312" w:eastAsia="仿宋_GB2312" w:cs="CESI仿宋-GB2312"/>
                <w:kern w:val="0"/>
                <w:sz w:val="24"/>
                <w:szCs w:val="24"/>
              </w:rPr>
            </w:pPr>
          </w:p>
          <w:p>
            <w:pPr>
              <w:spacing w:line="578" w:lineRule="exact"/>
              <w:rPr>
                <w:rFonts w:ascii="仿宋_GB2312" w:hAnsi="CESI仿宋-GB2312" w:eastAsia="仿宋_GB2312" w:cs="CESI仿宋-GB2312"/>
                <w:kern w:val="0"/>
                <w:sz w:val="24"/>
                <w:szCs w:val="24"/>
              </w:rPr>
            </w:pPr>
          </w:p>
          <w:p>
            <w:pPr>
              <w:spacing w:line="578" w:lineRule="exact"/>
              <w:rPr>
                <w:rFonts w:ascii="仿宋_GB2312" w:hAnsi="CESI仿宋-GB2312" w:eastAsia="仿宋_GB2312" w:cs="CESI仿宋-GB2312"/>
                <w:kern w:val="0"/>
                <w:sz w:val="24"/>
                <w:szCs w:val="24"/>
              </w:rPr>
            </w:pPr>
          </w:p>
          <w:p>
            <w:pPr>
              <w:wordWrap w:val="0"/>
              <w:spacing w:line="578" w:lineRule="exact"/>
              <w:jc w:val="right"/>
              <w:rPr>
                <w:rFonts w:ascii="仿宋_GB2312" w:hAnsi="CESI仿宋-GB2312" w:eastAsia="仿宋_GB2312" w:cs="CESI仿宋-GB2312"/>
                <w:kern w:val="0"/>
                <w:sz w:val="24"/>
                <w:szCs w:val="24"/>
              </w:rPr>
            </w:pPr>
            <w:r>
              <w:rPr>
                <w:rFonts w:hint="eastAsia" w:ascii="仿宋_GB2312" w:hAnsi="CESI仿宋-GB2312" w:eastAsia="仿宋_GB2312" w:cs="CESI仿宋-GB2312"/>
                <w:kern w:val="0"/>
                <w:sz w:val="24"/>
                <w:szCs w:val="24"/>
              </w:rPr>
              <w:t>审核部门：</w:t>
            </w:r>
            <w:r>
              <w:rPr>
                <w:rFonts w:ascii="仿宋_GB2312" w:hAnsi="CESI仿宋-GB2312" w:eastAsia="仿宋_GB2312" w:cs="CESI仿宋-GB2312"/>
                <w:kern w:val="0"/>
                <w:sz w:val="24"/>
                <w:szCs w:val="24"/>
              </w:rPr>
              <w:t xml:space="preserve"> （公章）  </w:t>
            </w:r>
          </w:p>
          <w:p>
            <w:pPr>
              <w:wordWrap w:val="0"/>
              <w:spacing w:line="578" w:lineRule="exact"/>
              <w:jc w:val="right"/>
              <w:rPr>
                <w:rFonts w:ascii="仿宋_GB2312" w:hAnsi="CESI仿宋-GB2312" w:eastAsia="仿宋_GB2312" w:cs="CESI仿宋-GB2312"/>
                <w:kern w:val="0"/>
                <w:sz w:val="24"/>
                <w:szCs w:val="24"/>
              </w:rPr>
            </w:pPr>
            <w:r>
              <w:rPr>
                <w:rFonts w:hint="eastAsia" w:ascii="仿宋_GB2312" w:hAnsi="CESI仿宋-GB2312" w:eastAsia="仿宋_GB2312" w:cs="CESI仿宋-GB2312"/>
                <w:kern w:val="0"/>
                <w:sz w:val="24"/>
                <w:szCs w:val="24"/>
              </w:rPr>
              <w:t>日期：</w:t>
            </w:r>
            <w:r>
              <w:rPr>
                <w:rFonts w:ascii="仿宋_GB2312" w:hAnsi="CESI仿宋-GB2312" w:eastAsia="仿宋_GB2312" w:cs="CESI仿宋-GB2312"/>
                <w:kern w:val="0"/>
                <w:sz w:val="24"/>
                <w:szCs w:val="24"/>
              </w:rPr>
              <w:t xml:space="preserve">   </w:t>
            </w:r>
            <w:r>
              <w:rPr>
                <w:rFonts w:hint="eastAsia" w:ascii="仿宋_GB2312" w:hAnsi="CESI仿宋-GB2312" w:eastAsia="仿宋_GB2312" w:cs="CESI仿宋-GB2312"/>
                <w:kern w:val="0"/>
                <w:sz w:val="24"/>
                <w:szCs w:val="24"/>
              </w:rPr>
              <w:t>年</w:t>
            </w:r>
            <w:r>
              <w:rPr>
                <w:rFonts w:ascii="仿宋_GB2312" w:hAnsi="CESI仿宋-GB2312" w:eastAsia="仿宋_GB2312" w:cs="CESI仿宋-GB2312"/>
                <w:kern w:val="0"/>
                <w:sz w:val="24"/>
                <w:szCs w:val="24"/>
              </w:rPr>
              <w:t xml:space="preserve">   </w:t>
            </w:r>
            <w:r>
              <w:rPr>
                <w:rFonts w:hint="eastAsia" w:ascii="仿宋_GB2312" w:hAnsi="CESI仿宋-GB2312" w:eastAsia="仿宋_GB2312" w:cs="CESI仿宋-GB2312"/>
                <w:kern w:val="0"/>
                <w:sz w:val="24"/>
                <w:szCs w:val="24"/>
              </w:rPr>
              <w:t>月</w:t>
            </w:r>
            <w:r>
              <w:rPr>
                <w:rFonts w:ascii="仿宋_GB2312" w:hAnsi="CESI仿宋-GB2312" w:eastAsia="仿宋_GB2312" w:cs="CESI仿宋-GB2312"/>
                <w:kern w:val="0"/>
                <w:sz w:val="24"/>
                <w:szCs w:val="24"/>
              </w:rPr>
              <w:t xml:space="preserve">   </w:t>
            </w:r>
            <w:r>
              <w:rPr>
                <w:rFonts w:hint="eastAsia" w:ascii="仿宋_GB2312" w:hAnsi="CESI仿宋-GB2312" w:eastAsia="仿宋_GB2312" w:cs="CESI仿宋-GB2312"/>
                <w:kern w:val="0"/>
                <w:sz w:val="24"/>
                <w:szCs w:val="24"/>
              </w:rPr>
              <w:t>日</w:t>
            </w:r>
          </w:p>
        </w:tc>
      </w:tr>
    </w:tbl>
    <w:p>
      <w:pPr>
        <w:spacing w:line="578" w:lineRule="exact"/>
        <w:rPr>
          <w:rFonts w:ascii="仿宋_GB2312" w:hAnsi="CESI仿宋-GB2312" w:eastAsia="仿宋_GB2312" w:cs="CESI仿宋-GB2312"/>
          <w:kern w:val="0"/>
          <w:sz w:val="24"/>
          <w:szCs w:val="24"/>
        </w:rPr>
      </w:pPr>
      <w:r>
        <w:rPr>
          <w:rFonts w:hint="eastAsia" w:ascii="仿宋_GB2312" w:hAnsi="CESI仿宋-GB2312" w:eastAsia="仿宋_GB2312" w:cs="CESI仿宋-GB2312"/>
          <w:kern w:val="0"/>
          <w:sz w:val="24"/>
          <w:szCs w:val="24"/>
        </w:rPr>
        <w:t>注：</w:t>
      </w:r>
      <w:r>
        <w:rPr>
          <w:rFonts w:ascii="Times New Roman" w:hAnsi="Times New Roman" w:eastAsia="仿宋_GB2312"/>
          <w:kern w:val="0"/>
          <w:sz w:val="24"/>
          <w:szCs w:val="24"/>
        </w:rPr>
        <w:t>1.</w:t>
      </w:r>
      <w:r>
        <w:rPr>
          <w:rFonts w:ascii="仿宋_GB2312" w:hAnsi="CESI仿宋-GB2312" w:eastAsia="仿宋_GB2312" w:cs="CESI仿宋-GB2312"/>
          <w:kern w:val="0"/>
          <w:sz w:val="24"/>
          <w:szCs w:val="24"/>
        </w:rPr>
        <w:t>拟定</w:t>
      </w:r>
      <w:r>
        <w:rPr>
          <w:rFonts w:hint="eastAsia" w:ascii="仿宋_GB2312" w:hAnsi="CESI仿宋-GB2312" w:eastAsia="仿宋_GB2312" w:cs="CESI仿宋-GB2312"/>
          <w:kern w:val="0"/>
          <w:sz w:val="24"/>
          <w:szCs w:val="24"/>
        </w:rPr>
        <w:t>级结果需填写拟定业务信息安全保护等级和系统服务安全保护等级；</w:t>
      </w:r>
    </w:p>
    <w:p>
      <w:pPr>
        <w:spacing w:line="578" w:lineRule="exact"/>
        <w:ind w:firstLine="424" w:firstLineChars="177"/>
        <w:rPr>
          <w:rFonts w:ascii="仿宋_GB2312" w:hAnsi="CESI仿宋-GB2312" w:eastAsia="仿宋_GB2312" w:cs="CESI仿宋-GB2312"/>
          <w:sz w:val="32"/>
          <w:szCs w:val="32"/>
        </w:rPr>
      </w:pPr>
      <w:r>
        <w:rPr>
          <w:rFonts w:ascii="Times New Roman" w:hAnsi="Times New Roman" w:eastAsia="仿宋_GB2312"/>
          <w:kern w:val="0"/>
          <w:sz w:val="24"/>
          <w:szCs w:val="24"/>
        </w:rPr>
        <w:t>2.</w:t>
      </w:r>
      <w:r>
        <w:rPr>
          <w:rFonts w:ascii="仿宋_GB2312" w:hAnsi="CESI仿宋-GB2312" w:eastAsia="仿宋_GB2312" w:cs="CESI仿宋-GB2312"/>
          <w:kern w:val="0"/>
          <w:sz w:val="24"/>
          <w:szCs w:val="24"/>
        </w:rPr>
        <w:t>每个定级对象需单独提交定级报告（包含网络概况、定级分析、定级结果）和专家评审意见。</w:t>
      </w:r>
      <w:bookmarkStart w:id="0" w:name="_GoBack"/>
      <w:bookmarkEnd w:id="0"/>
    </w:p>
    <w:sectPr>
      <w:footerReference r:id="rId3" w:type="default"/>
      <w:pgSz w:w="11906" w:h="16838"/>
      <w:pgMar w:top="2098" w:right="1474" w:bottom="1985" w:left="1588" w:header="851" w:footer="992"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方正舒体"/>
    <w:panose1 w:val="03000509000000000000"/>
    <w:charset w:val="86"/>
    <w:family w:val="script"/>
    <w:pitch w:val="default"/>
    <w:sig w:usb0="00000001" w:usb1="080E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CESI黑体-GB2312">
    <w:altName w:val="Microsoft YaHei UI"/>
    <w:panose1 w:val="02000500000000000000"/>
    <w:charset w:val="86"/>
    <w:family w:val="auto"/>
    <w:pitch w:val="default"/>
    <w:sig w:usb0="00000000" w:usb1="184F6CF8" w:usb2="00000012" w:usb3="00000000" w:csb0="0004000F" w:csb1="00000000"/>
  </w:font>
  <w:font w:name="Microsoft YaHei UI">
    <w:panose1 w:val="020B0503020204020204"/>
    <w:charset w:val="86"/>
    <w:family w:val="auto"/>
    <w:pitch w:val="default"/>
    <w:sig w:usb0="80000287" w:usb1="28CF3C52" w:usb2="00000016" w:usb3="00000000" w:csb0="0004001F" w:csb1="00000000"/>
  </w:font>
  <w:font w:name="CESI仿宋-GB2312">
    <w:altName w:val="仿宋"/>
    <w:panose1 w:val="02000500000000000000"/>
    <w:charset w:val="86"/>
    <w:family w:val="auto"/>
    <w:pitch w:val="default"/>
    <w:sig w:usb0="800002AF" w:usb1="084F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9EC"/>
    <w:rsid w:val="00003482"/>
    <w:rsid w:val="000045B2"/>
    <w:rsid w:val="00004663"/>
    <w:rsid w:val="00016464"/>
    <w:rsid w:val="000172D5"/>
    <w:rsid w:val="000219CD"/>
    <w:rsid w:val="00034119"/>
    <w:rsid w:val="00043CFC"/>
    <w:rsid w:val="00044920"/>
    <w:rsid w:val="000467C5"/>
    <w:rsid w:val="0004792D"/>
    <w:rsid w:val="00047A50"/>
    <w:rsid w:val="000541DB"/>
    <w:rsid w:val="00060EBB"/>
    <w:rsid w:val="000647C5"/>
    <w:rsid w:val="00064C2C"/>
    <w:rsid w:val="00071D82"/>
    <w:rsid w:val="00075A72"/>
    <w:rsid w:val="00085701"/>
    <w:rsid w:val="00086110"/>
    <w:rsid w:val="000921C5"/>
    <w:rsid w:val="00093FFB"/>
    <w:rsid w:val="00097460"/>
    <w:rsid w:val="000A74D9"/>
    <w:rsid w:val="000B15D5"/>
    <w:rsid w:val="000B3781"/>
    <w:rsid w:val="000B4F3B"/>
    <w:rsid w:val="000B5FD2"/>
    <w:rsid w:val="000B6ECA"/>
    <w:rsid w:val="000C1A66"/>
    <w:rsid w:val="000C2E9B"/>
    <w:rsid w:val="000C5E0B"/>
    <w:rsid w:val="000C6A32"/>
    <w:rsid w:val="000D4499"/>
    <w:rsid w:val="000E0643"/>
    <w:rsid w:val="000E3F6D"/>
    <w:rsid w:val="000E49D5"/>
    <w:rsid w:val="000E71D1"/>
    <w:rsid w:val="000F384A"/>
    <w:rsid w:val="0010071C"/>
    <w:rsid w:val="00113E63"/>
    <w:rsid w:val="001179CC"/>
    <w:rsid w:val="00124F88"/>
    <w:rsid w:val="00127F76"/>
    <w:rsid w:val="0013296A"/>
    <w:rsid w:val="00141E35"/>
    <w:rsid w:val="00143659"/>
    <w:rsid w:val="00145387"/>
    <w:rsid w:val="0014596A"/>
    <w:rsid w:val="00162206"/>
    <w:rsid w:val="001741A7"/>
    <w:rsid w:val="001746F8"/>
    <w:rsid w:val="00177213"/>
    <w:rsid w:val="00180631"/>
    <w:rsid w:val="001811C0"/>
    <w:rsid w:val="00184455"/>
    <w:rsid w:val="00186015"/>
    <w:rsid w:val="00186E2D"/>
    <w:rsid w:val="0019716F"/>
    <w:rsid w:val="001A48E2"/>
    <w:rsid w:val="001B3D2D"/>
    <w:rsid w:val="001B7775"/>
    <w:rsid w:val="001D6E3A"/>
    <w:rsid w:val="001E3706"/>
    <w:rsid w:val="001E3E7F"/>
    <w:rsid w:val="001E794E"/>
    <w:rsid w:val="001F5709"/>
    <w:rsid w:val="001F5B39"/>
    <w:rsid w:val="001F5D45"/>
    <w:rsid w:val="001F7C0A"/>
    <w:rsid w:val="00204103"/>
    <w:rsid w:val="00221445"/>
    <w:rsid w:val="002230B4"/>
    <w:rsid w:val="002265D5"/>
    <w:rsid w:val="00230290"/>
    <w:rsid w:val="00244AFF"/>
    <w:rsid w:val="00247F96"/>
    <w:rsid w:val="00250998"/>
    <w:rsid w:val="00250EBB"/>
    <w:rsid w:val="002602C8"/>
    <w:rsid w:val="002808CC"/>
    <w:rsid w:val="00283900"/>
    <w:rsid w:val="002903E7"/>
    <w:rsid w:val="00290A2B"/>
    <w:rsid w:val="00291517"/>
    <w:rsid w:val="00292CF1"/>
    <w:rsid w:val="00293845"/>
    <w:rsid w:val="00294462"/>
    <w:rsid w:val="002A0883"/>
    <w:rsid w:val="002A2492"/>
    <w:rsid w:val="002B0D8C"/>
    <w:rsid w:val="002B4FE5"/>
    <w:rsid w:val="002B5B4C"/>
    <w:rsid w:val="002B7C70"/>
    <w:rsid w:val="002C0E2A"/>
    <w:rsid w:val="002C7C03"/>
    <w:rsid w:val="002D5D65"/>
    <w:rsid w:val="002F0AD3"/>
    <w:rsid w:val="002F15CC"/>
    <w:rsid w:val="002F2CEE"/>
    <w:rsid w:val="002F756D"/>
    <w:rsid w:val="0030025C"/>
    <w:rsid w:val="00300B94"/>
    <w:rsid w:val="00300FED"/>
    <w:rsid w:val="00301E38"/>
    <w:rsid w:val="00303C4D"/>
    <w:rsid w:val="003057FD"/>
    <w:rsid w:val="00320039"/>
    <w:rsid w:val="003261A8"/>
    <w:rsid w:val="0033081D"/>
    <w:rsid w:val="003323DE"/>
    <w:rsid w:val="00334EB2"/>
    <w:rsid w:val="0034047B"/>
    <w:rsid w:val="00344156"/>
    <w:rsid w:val="003449A1"/>
    <w:rsid w:val="00356042"/>
    <w:rsid w:val="00357981"/>
    <w:rsid w:val="00364350"/>
    <w:rsid w:val="00375842"/>
    <w:rsid w:val="00382A80"/>
    <w:rsid w:val="0038308B"/>
    <w:rsid w:val="003916C6"/>
    <w:rsid w:val="00392BB6"/>
    <w:rsid w:val="003A6B33"/>
    <w:rsid w:val="003A7165"/>
    <w:rsid w:val="003B7A23"/>
    <w:rsid w:val="003C3047"/>
    <w:rsid w:val="003D0199"/>
    <w:rsid w:val="003D0E11"/>
    <w:rsid w:val="003D2628"/>
    <w:rsid w:val="003D39C5"/>
    <w:rsid w:val="003D4746"/>
    <w:rsid w:val="003E0C15"/>
    <w:rsid w:val="003E7F18"/>
    <w:rsid w:val="003F2B7B"/>
    <w:rsid w:val="00401A0B"/>
    <w:rsid w:val="00404882"/>
    <w:rsid w:val="00407EC7"/>
    <w:rsid w:val="00423F04"/>
    <w:rsid w:val="004255C2"/>
    <w:rsid w:val="00430FAF"/>
    <w:rsid w:val="00435267"/>
    <w:rsid w:val="004359BC"/>
    <w:rsid w:val="00443D99"/>
    <w:rsid w:val="0045444B"/>
    <w:rsid w:val="00457134"/>
    <w:rsid w:val="00463797"/>
    <w:rsid w:val="00465F72"/>
    <w:rsid w:val="00470BFB"/>
    <w:rsid w:val="00474C57"/>
    <w:rsid w:val="00486EA8"/>
    <w:rsid w:val="004B0F15"/>
    <w:rsid w:val="004B472F"/>
    <w:rsid w:val="004C1C82"/>
    <w:rsid w:val="004C71FF"/>
    <w:rsid w:val="004C781D"/>
    <w:rsid w:val="004E1DD3"/>
    <w:rsid w:val="004E4FF4"/>
    <w:rsid w:val="004E5C48"/>
    <w:rsid w:val="004F133A"/>
    <w:rsid w:val="004F1591"/>
    <w:rsid w:val="00512885"/>
    <w:rsid w:val="005206FA"/>
    <w:rsid w:val="0052623E"/>
    <w:rsid w:val="00531648"/>
    <w:rsid w:val="005320FE"/>
    <w:rsid w:val="00532B76"/>
    <w:rsid w:val="005427AD"/>
    <w:rsid w:val="005470CD"/>
    <w:rsid w:val="0054786B"/>
    <w:rsid w:val="0056105E"/>
    <w:rsid w:val="00572364"/>
    <w:rsid w:val="00574C27"/>
    <w:rsid w:val="005852AF"/>
    <w:rsid w:val="00593DA8"/>
    <w:rsid w:val="005960D5"/>
    <w:rsid w:val="005B0197"/>
    <w:rsid w:val="005C5987"/>
    <w:rsid w:val="005C608E"/>
    <w:rsid w:val="005D18ED"/>
    <w:rsid w:val="005D3639"/>
    <w:rsid w:val="005D377F"/>
    <w:rsid w:val="005D6105"/>
    <w:rsid w:val="005E5915"/>
    <w:rsid w:val="005F03FA"/>
    <w:rsid w:val="005F04CA"/>
    <w:rsid w:val="005F2F70"/>
    <w:rsid w:val="005F56C1"/>
    <w:rsid w:val="006022DD"/>
    <w:rsid w:val="00604C2C"/>
    <w:rsid w:val="006127F7"/>
    <w:rsid w:val="0063051E"/>
    <w:rsid w:val="00635461"/>
    <w:rsid w:val="00637BF6"/>
    <w:rsid w:val="0065517A"/>
    <w:rsid w:val="00656E22"/>
    <w:rsid w:val="0066564C"/>
    <w:rsid w:val="0067043B"/>
    <w:rsid w:val="0067565A"/>
    <w:rsid w:val="00675812"/>
    <w:rsid w:val="00676E82"/>
    <w:rsid w:val="0068143E"/>
    <w:rsid w:val="00681DB8"/>
    <w:rsid w:val="006846B1"/>
    <w:rsid w:val="006850C5"/>
    <w:rsid w:val="00687B04"/>
    <w:rsid w:val="0069262C"/>
    <w:rsid w:val="006A5D5A"/>
    <w:rsid w:val="006B0564"/>
    <w:rsid w:val="006B5F16"/>
    <w:rsid w:val="006C5F81"/>
    <w:rsid w:val="006D1086"/>
    <w:rsid w:val="006D477A"/>
    <w:rsid w:val="006E0F82"/>
    <w:rsid w:val="006E2979"/>
    <w:rsid w:val="006F0722"/>
    <w:rsid w:val="00700531"/>
    <w:rsid w:val="00703F4C"/>
    <w:rsid w:val="00704B75"/>
    <w:rsid w:val="00723F16"/>
    <w:rsid w:val="007242C9"/>
    <w:rsid w:val="007345F7"/>
    <w:rsid w:val="0073525E"/>
    <w:rsid w:val="00736062"/>
    <w:rsid w:val="0073717C"/>
    <w:rsid w:val="00746F58"/>
    <w:rsid w:val="007524F8"/>
    <w:rsid w:val="007557D5"/>
    <w:rsid w:val="00755AD2"/>
    <w:rsid w:val="00767E3E"/>
    <w:rsid w:val="00770CE3"/>
    <w:rsid w:val="0078123E"/>
    <w:rsid w:val="00782AFB"/>
    <w:rsid w:val="00782E3E"/>
    <w:rsid w:val="00787B7A"/>
    <w:rsid w:val="00793E51"/>
    <w:rsid w:val="00794DCE"/>
    <w:rsid w:val="007A13B9"/>
    <w:rsid w:val="007A6670"/>
    <w:rsid w:val="007A7B51"/>
    <w:rsid w:val="007B0D31"/>
    <w:rsid w:val="007B1199"/>
    <w:rsid w:val="007C4170"/>
    <w:rsid w:val="007C5BAC"/>
    <w:rsid w:val="007C66EC"/>
    <w:rsid w:val="007D26F9"/>
    <w:rsid w:val="007D6A0B"/>
    <w:rsid w:val="007D7E80"/>
    <w:rsid w:val="007E573B"/>
    <w:rsid w:val="00800753"/>
    <w:rsid w:val="008016A9"/>
    <w:rsid w:val="00805154"/>
    <w:rsid w:val="008054EF"/>
    <w:rsid w:val="008100B5"/>
    <w:rsid w:val="00811B0C"/>
    <w:rsid w:val="00812727"/>
    <w:rsid w:val="008150A0"/>
    <w:rsid w:val="00816CF8"/>
    <w:rsid w:val="00821084"/>
    <w:rsid w:val="00821875"/>
    <w:rsid w:val="00833E17"/>
    <w:rsid w:val="0083488B"/>
    <w:rsid w:val="00840360"/>
    <w:rsid w:val="008573DD"/>
    <w:rsid w:val="00860B8B"/>
    <w:rsid w:val="00872C7C"/>
    <w:rsid w:val="008746ED"/>
    <w:rsid w:val="008755A4"/>
    <w:rsid w:val="0087720D"/>
    <w:rsid w:val="00877403"/>
    <w:rsid w:val="00877FD9"/>
    <w:rsid w:val="008806BD"/>
    <w:rsid w:val="00891175"/>
    <w:rsid w:val="008948E9"/>
    <w:rsid w:val="008A5DFF"/>
    <w:rsid w:val="008C5C88"/>
    <w:rsid w:val="008D5C16"/>
    <w:rsid w:val="008D7250"/>
    <w:rsid w:val="008E0591"/>
    <w:rsid w:val="008E0BC2"/>
    <w:rsid w:val="008E70F7"/>
    <w:rsid w:val="00901AF8"/>
    <w:rsid w:val="00902698"/>
    <w:rsid w:val="00906D20"/>
    <w:rsid w:val="0090741D"/>
    <w:rsid w:val="00912291"/>
    <w:rsid w:val="00913C20"/>
    <w:rsid w:val="0091713E"/>
    <w:rsid w:val="00924BAC"/>
    <w:rsid w:val="009313F4"/>
    <w:rsid w:val="00941931"/>
    <w:rsid w:val="0094724F"/>
    <w:rsid w:val="00957164"/>
    <w:rsid w:val="009604A0"/>
    <w:rsid w:val="00962790"/>
    <w:rsid w:val="009644C9"/>
    <w:rsid w:val="00973B65"/>
    <w:rsid w:val="00975F0D"/>
    <w:rsid w:val="00975FC6"/>
    <w:rsid w:val="009820C5"/>
    <w:rsid w:val="0098569B"/>
    <w:rsid w:val="009910A5"/>
    <w:rsid w:val="0099177C"/>
    <w:rsid w:val="00994FA6"/>
    <w:rsid w:val="00996EA3"/>
    <w:rsid w:val="009A3A6F"/>
    <w:rsid w:val="009A6C83"/>
    <w:rsid w:val="009A753C"/>
    <w:rsid w:val="009A78D8"/>
    <w:rsid w:val="009B3BC8"/>
    <w:rsid w:val="009B5433"/>
    <w:rsid w:val="009B66A1"/>
    <w:rsid w:val="009D16AF"/>
    <w:rsid w:val="009D37D0"/>
    <w:rsid w:val="009D38B8"/>
    <w:rsid w:val="009D425A"/>
    <w:rsid w:val="009D4829"/>
    <w:rsid w:val="009D7170"/>
    <w:rsid w:val="009E5EBE"/>
    <w:rsid w:val="009F0904"/>
    <w:rsid w:val="009F3752"/>
    <w:rsid w:val="009F520E"/>
    <w:rsid w:val="00A0262A"/>
    <w:rsid w:val="00A0323C"/>
    <w:rsid w:val="00A05CE9"/>
    <w:rsid w:val="00A14DEF"/>
    <w:rsid w:val="00A172D5"/>
    <w:rsid w:val="00A22967"/>
    <w:rsid w:val="00A248AE"/>
    <w:rsid w:val="00A2534C"/>
    <w:rsid w:val="00A25772"/>
    <w:rsid w:val="00A36924"/>
    <w:rsid w:val="00A4512C"/>
    <w:rsid w:val="00A5146F"/>
    <w:rsid w:val="00A543E5"/>
    <w:rsid w:val="00A55343"/>
    <w:rsid w:val="00A577B3"/>
    <w:rsid w:val="00A61CA6"/>
    <w:rsid w:val="00A627E6"/>
    <w:rsid w:val="00A748B5"/>
    <w:rsid w:val="00A83E1D"/>
    <w:rsid w:val="00A94FC0"/>
    <w:rsid w:val="00AA0136"/>
    <w:rsid w:val="00AA1BE5"/>
    <w:rsid w:val="00AA3B5D"/>
    <w:rsid w:val="00AA50D8"/>
    <w:rsid w:val="00AB224C"/>
    <w:rsid w:val="00AC15DF"/>
    <w:rsid w:val="00AD1140"/>
    <w:rsid w:val="00AD27FC"/>
    <w:rsid w:val="00AD406B"/>
    <w:rsid w:val="00AD4B8D"/>
    <w:rsid w:val="00AD64BD"/>
    <w:rsid w:val="00AD793A"/>
    <w:rsid w:val="00AE3A71"/>
    <w:rsid w:val="00AE62BA"/>
    <w:rsid w:val="00AF2BD0"/>
    <w:rsid w:val="00B04CDB"/>
    <w:rsid w:val="00B1325B"/>
    <w:rsid w:val="00B1592A"/>
    <w:rsid w:val="00B21D25"/>
    <w:rsid w:val="00B232AE"/>
    <w:rsid w:val="00B23DB1"/>
    <w:rsid w:val="00B24BC7"/>
    <w:rsid w:val="00B46CE1"/>
    <w:rsid w:val="00B47F31"/>
    <w:rsid w:val="00B51F0F"/>
    <w:rsid w:val="00B56E52"/>
    <w:rsid w:val="00B57F2D"/>
    <w:rsid w:val="00B61B3C"/>
    <w:rsid w:val="00B6464E"/>
    <w:rsid w:val="00B71E24"/>
    <w:rsid w:val="00B75FB8"/>
    <w:rsid w:val="00B761E7"/>
    <w:rsid w:val="00B77187"/>
    <w:rsid w:val="00B82EC6"/>
    <w:rsid w:val="00B861D6"/>
    <w:rsid w:val="00B91221"/>
    <w:rsid w:val="00B91ABD"/>
    <w:rsid w:val="00B93425"/>
    <w:rsid w:val="00B959F4"/>
    <w:rsid w:val="00BA1326"/>
    <w:rsid w:val="00BB37FC"/>
    <w:rsid w:val="00BB5E6A"/>
    <w:rsid w:val="00BC3C9E"/>
    <w:rsid w:val="00BC6E6F"/>
    <w:rsid w:val="00BD035B"/>
    <w:rsid w:val="00BD571D"/>
    <w:rsid w:val="00BE0C88"/>
    <w:rsid w:val="00BE61B4"/>
    <w:rsid w:val="00BE6277"/>
    <w:rsid w:val="00BE6F9F"/>
    <w:rsid w:val="00BF089E"/>
    <w:rsid w:val="00BF2CE0"/>
    <w:rsid w:val="00BF354F"/>
    <w:rsid w:val="00BF57BD"/>
    <w:rsid w:val="00C03C95"/>
    <w:rsid w:val="00C074E8"/>
    <w:rsid w:val="00C205EC"/>
    <w:rsid w:val="00C23237"/>
    <w:rsid w:val="00C262F5"/>
    <w:rsid w:val="00C26EE0"/>
    <w:rsid w:val="00C456F4"/>
    <w:rsid w:val="00C50549"/>
    <w:rsid w:val="00C60CEE"/>
    <w:rsid w:val="00C61108"/>
    <w:rsid w:val="00C61ECC"/>
    <w:rsid w:val="00C6558F"/>
    <w:rsid w:val="00C6592E"/>
    <w:rsid w:val="00C66D77"/>
    <w:rsid w:val="00C67274"/>
    <w:rsid w:val="00C7263B"/>
    <w:rsid w:val="00C72D77"/>
    <w:rsid w:val="00C73BCB"/>
    <w:rsid w:val="00C74A1F"/>
    <w:rsid w:val="00C75465"/>
    <w:rsid w:val="00C7645F"/>
    <w:rsid w:val="00C768CB"/>
    <w:rsid w:val="00CA23BB"/>
    <w:rsid w:val="00CA4EA8"/>
    <w:rsid w:val="00CB156A"/>
    <w:rsid w:val="00CB742D"/>
    <w:rsid w:val="00CC4037"/>
    <w:rsid w:val="00CC67A3"/>
    <w:rsid w:val="00CD1F88"/>
    <w:rsid w:val="00CD49EC"/>
    <w:rsid w:val="00CD5F5D"/>
    <w:rsid w:val="00CD6962"/>
    <w:rsid w:val="00CF2BE7"/>
    <w:rsid w:val="00D0496E"/>
    <w:rsid w:val="00D05CEC"/>
    <w:rsid w:val="00D3350A"/>
    <w:rsid w:val="00D347C2"/>
    <w:rsid w:val="00D35E52"/>
    <w:rsid w:val="00D50062"/>
    <w:rsid w:val="00D51996"/>
    <w:rsid w:val="00D521F9"/>
    <w:rsid w:val="00D603AD"/>
    <w:rsid w:val="00D64627"/>
    <w:rsid w:val="00D67B1E"/>
    <w:rsid w:val="00D67E5D"/>
    <w:rsid w:val="00D730ED"/>
    <w:rsid w:val="00D73A54"/>
    <w:rsid w:val="00D80D79"/>
    <w:rsid w:val="00D81F45"/>
    <w:rsid w:val="00DA3488"/>
    <w:rsid w:val="00DA4C49"/>
    <w:rsid w:val="00DA5915"/>
    <w:rsid w:val="00DB3A21"/>
    <w:rsid w:val="00DB7353"/>
    <w:rsid w:val="00DD2289"/>
    <w:rsid w:val="00DF375A"/>
    <w:rsid w:val="00DF3CB0"/>
    <w:rsid w:val="00E00EBA"/>
    <w:rsid w:val="00E05C86"/>
    <w:rsid w:val="00E07428"/>
    <w:rsid w:val="00E17145"/>
    <w:rsid w:val="00E21475"/>
    <w:rsid w:val="00E255F5"/>
    <w:rsid w:val="00E36869"/>
    <w:rsid w:val="00E41ACD"/>
    <w:rsid w:val="00E427B7"/>
    <w:rsid w:val="00E43981"/>
    <w:rsid w:val="00E46F95"/>
    <w:rsid w:val="00E5076C"/>
    <w:rsid w:val="00E50FFD"/>
    <w:rsid w:val="00E70DF7"/>
    <w:rsid w:val="00E7153B"/>
    <w:rsid w:val="00E7348E"/>
    <w:rsid w:val="00E77963"/>
    <w:rsid w:val="00E8206A"/>
    <w:rsid w:val="00E86635"/>
    <w:rsid w:val="00E8729A"/>
    <w:rsid w:val="00E95B3E"/>
    <w:rsid w:val="00EA5102"/>
    <w:rsid w:val="00EA75AC"/>
    <w:rsid w:val="00EA7A9D"/>
    <w:rsid w:val="00EB4142"/>
    <w:rsid w:val="00EB4B6C"/>
    <w:rsid w:val="00EB4CE8"/>
    <w:rsid w:val="00EB5670"/>
    <w:rsid w:val="00EC2245"/>
    <w:rsid w:val="00EC5AE0"/>
    <w:rsid w:val="00ED15D7"/>
    <w:rsid w:val="00ED68A8"/>
    <w:rsid w:val="00ED75D2"/>
    <w:rsid w:val="00EF199E"/>
    <w:rsid w:val="00F02551"/>
    <w:rsid w:val="00F07752"/>
    <w:rsid w:val="00F15242"/>
    <w:rsid w:val="00F22DBB"/>
    <w:rsid w:val="00F236F5"/>
    <w:rsid w:val="00F24C86"/>
    <w:rsid w:val="00F30209"/>
    <w:rsid w:val="00F47013"/>
    <w:rsid w:val="00F479AA"/>
    <w:rsid w:val="00F50840"/>
    <w:rsid w:val="00F520EE"/>
    <w:rsid w:val="00F65BB5"/>
    <w:rsid w:val="00F73AB8"/>
    <w:rsid w:val="00F80070"/>
    <w:rsid w:val="00F85D7A"/>
    <w:rsid w:val="00F87CC3"/>
    <w:rsid w:val="00F93BFE"/>
    <w:rsid w:val="00F978A4"/>
    <w:rsid w:val="00FA2DB4"/>
    <w:rsid w:val="00FA3BEB"/>
    <w:rsid w:val="00FC1A6E"/>
    <w:rsid w:val="00FC3045"/>
    <w:rsid w:val="00FC5145"/>
    <w:rsid w:val="00FC600B"/>
    <w:rsid w:val="00FC7D58"/>
    <w:rsid w:val="00FD2884"/>
    <w:rsid w:val="00FE6799"/>
    <w:rsid w:val="00FF0F67"/>
    <w:rsid w:val="00FF2CF2"/>
    <w:rsid w:val="00FF30FF"/>
    <w:rsid w:val="00FF677E"/>
    <w:rsid w:val="04F05E27"/>
    <w:rsid w:val="12804251"/>
    <w:rsid w:val="169868D4"/>
    <w:rsid w:val="1F2D1BDB"/>
    <w:rsid w:val="1F5C6185"/>
    <w:rsid w:val="20D82402"/>
    <w:rsid w:val="213D455D"/>
    <w:rsid w:val="36440E3B"/>
    <w:rsid w:val="37751495"/>
    <w:rsid w:val="3C784A3E"/>
    <w:rsid w:val="3DF7D2E7"/>
    <w:rsid w:val="4BE31656"/>
    <w:rsid w:val="5FF61F1F"/>
    <w:rsid w:val="6EE70469"/>
    <w:rsid w:val="6F3F74FA"/>
    <w:rsid w:val="72814FCA"/>
    <w:rsid w:val="76DF8B66"/>
    <w:rsid w:val="771F0D7D"/>
    <w:rsid w:val="7751151E"/>
    <w:rsid w:val="7B47ADBB"/>
    <w:rsid w:val="7B6A4711"/>
    <w:rsid w:val="7D555BB5"/>
    <w:rsid w:val="7E6FF04D"/>
    <w:rsid w:val="7EFCC37E"/>
    <w:rsid w:val="7F342C0D"/>
    <w:rsid w:val="7FBFAC78"/>
    <w:rsid w:val="7FEFCE8A"/>
    <w:rsid w:val="7FFE981E"/>
    <w:rsid w:val="BFF7944B"/>
    <w:rsid w:val="C53D084D"/>
    <w:rsid w:val="DFCB229E"/>
    <w:rsid w:val="EBFF214F"/>
    <w:rsid w:val="EFF71B94"/>
    <w:rsid w:val="F7FFADF7"/>
    <w:rsid w:val="FBAD80FF"/>
    <w:rsid w:val="FEB71A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2">
    <w:name w:val="Body Text"/>
    <w:basedOn w:val="1"/>
    <w:link w:val="12"/>
    <w:unhideWhenUsed/>
    <w:qFormat/>
    <w:uiPriority w:val="99"/>
    <w:pPr>
      <w:spacing w:after="120"/>
    </w:pPr>
  </w:style>
  <w:style w:type="paragraph" w:styleId="3">
    <w:name w:val="annotation text"/>
    <w:basedOn w:val="1"/>
    <w:link w:val="13"/>
    <w:unhideWhenUsed/>
    <w:qFormat/>
    <w:uiPriority w:val="99"/>
    <w:pPr>
      <w:jc w:val="left"/>
    </w:pPr>
  </w:style>
  <w:style w:type="paragraph" w:styleId="4">
    <w:name w:val="Balloon Text"/>
    <w:basedOn w:val="1"/>
    <w:link w:val="14"/>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7"/>
    <w:unhideWhenUsed/>
    <w:qFormat/>
    <w:uiPriority w:val="99"/>
    <w:rPr>
      <w:b/>
      <w:bCs/>
    </w:rPr>
  </w:style>
  <w:style w:type="table" w:styleId="9">
    <w:name w:val="Table Grid"/>
    <w:basedOn w:val="8"/>
    <w:qFormat/>
    <w:uiPriority w:val="59"/>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unhideWhenUsed/>
    <w:qFormat/>
    <w:uiPriority w:val="99"/>
    <w:rPr>
      <w:sz w:val="21"/>
      <w:szCs w:val="21"/>
    </w:rPr>
  </w:style>
  <w:style w:type="character" w:customStyle="1" w:styleId="12">
    <w:name w:val="正文文本 Char"/>
    <w:link w:val="2"/>
    <w:semiHidden/>
    <w:qFormat/>
    <w:uiPriority w:val="99"/>
  </w:style>
  <w:style w:type="character" w:customStyle="1" w:styleId="13">
    <w:name w:val="批注文字 Char"/>
    <w:link w:val="3"/>
    <w:qFormat/>
    <w:uiPriority w:val="99"/>
  </w:style>
  <w:style w:type="character" w:customStyle="1" w:styleId="14">
    <w:name w:val="批注框文本 Char"/>
    <w:link w:val="4"/>
    <w:semiHidden/>
    <w:qFormat/>
    <w:uiPriority w:val="99"/>
    <w:rPr>
      <w:sz w:val="18"/>
      <w:szCs w:val="18"/>
    </w:rPr>
  </w:style>
  <w:style w:type="character" w:customStyle="1" w:styleId="15">
    <w:name w:val="页脚 Char"/>
    <w:link w:val="5"/>
    <w:qFormat/>
    <w:uiPriority w:val="99"/>
    <w:rPr>
      <w:sz w:val="18"/>
      <w:szCs w:val="18"/>
    </w:rPr>
  </w:style>
  <w:style w:type="character" w:customStyle="1" w:styleId="16">
    <w:name w:val="页眉 Char"/>
    <w:link w:val="6"/>
    <w:qFormat/>
    <w:uiPriority w:val="99"/>
    <w:rPr>
      <w:sz w:val="18"/>
      <w:szCs w:val="18"/>
    </w:rPr>
  </w:style>
  <w:style w:type="character" w:customStyle="1" w:styleId="17">
    <w:name w:val="批注主题 Char"/>
    <w:link w:val="7"/>
    <w:semiHidden/>
    <w:qFormat/>
    <w:uiPriority w:val="99"/>
    <w:rPr>
      <w:b/>
      <w:bCs/>
    </w:rPr>
  </w:style>
  <w:style w:type="paragraph" w:styleId="18">
    <w:name w:val="List Paragraph"/>
    <w:basedOn w:val="1"/>
    <w:qFormat/>
    <w:uiPriority w:val="34"/>
    <w:pPr>
      <w:ind w:firstLine="420" w:firstLineChars="20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12</Pages>
  <Words>5035</Words>
  <Characters>5065</Characters>
  <Lines>37</Lines>
  <Paragraphs>10</Paragraphs>
  <TotalTime>1</TotalTime>
  <ScaleCrop>false</ScaleCrop>
  <LinksUpToDate>false</LinksUpToDate>
  <CharactersWithSpaces>5142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2022-04-24T05:49:00Z</dcterms:created>
  <dc:creator>qiu</dc:creator>
  <cp:lastModifiedBy>小玉</cp:lastModifiedBy>
  <cp:lastPrinted>2022-06-13T07:20:00Z</cp:lastPrinted>
  <dcterms:modified xsi:type="dcterms:W3CDTF">2022-06-14T07:08:28Z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E666B028A25C4419BA8664ECDA4574E9</vt:lpwstr>
  </property>
</Properties>
</file>